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r>
      <w:r/>
    </w:p>
    <w:p>
      <w:pPr>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 xml:space="preserve">招 标 文 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38" w:firstLine="36"/>
        <w:jc w:val="left"/>
        <w:spacing w:line="360" w:lineRule="auto"/>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ind w:left="-38" w:firstLine="36"/>
        <w:jc w:val="left"/>
        <w:spacing w:line="360" w:lineRule="auto"/>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 xml:space="preserve">项目编号：</w:t>
      </w:r>
      <w:r>
        <w:rPr>
          <w:rFonts w:hint="eastAsia" w:ascii="宋体" w:hAnsi="宋体" w:eastAsia="宋体" w:cs="宋体"/>
          <w:b/>
          <w:color w:val="auto"/>
          <w:sz w:val="40"/>
          <w:szCs w:val="40"/>
          <w:highlight w:val="none"/>
          <w:lang w:eastAsia="zh-CN"/>
        </w:rPr>
        <w:t xml:space="preserve">JSZC-320581-HXGW-G2025-0074</w:t>
      </w:r>
      <w:r/>
    </w:p>
    <w:p>
      <w:pPr>
        <w:ind w:left="-38" w:firstLine="36"/>
        <w:jc w:val="left"/>
        <w:spacing w:line="360" w:lineRule="auto"/>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 xml:space="preserve">项目名称：</w:t>
      </w:r>
      <w:r>
        <w:rPr>
          <w:rFonts w:hint="eastAsia" w:ascii="宋体" w:hAnsi="宋体" w:eastAsia="宋体" w:cs="宋体"/>
          <w:b/>
          <w:color w:val="auto"/>
          <w:sz w:val="40"/>
          <w:szCs w:val="40"/>
          <w:highlight w:val="none"/>
          <w:lang w:eastAsia="zh-CN"/>
        </w:rPr>
        <w:t xml:space="preserve">2026-2027年度成片开发及土地报批服务</w:t>
      </w:r>
      <w:r/>
    </w:p>
    <w:p>
      <w:pPr>
        <w:ind w:left="-38" w:firstLine="36"/>
        <w:jc w:val="left"/>
        <w:spacing w:line="360" w:lineRule="auto"/>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项目属</w:t>
      </w:r>
      <w:bookmarkStart w:id="345" w:name="_GoBack"/>
      <w:r/>
      <w:bookmarkEnd w:id="345"/>
      <w:r>
        <w:rPr>
          <w:rFonts w:hint="eastAsia" w:ascii="宋体" w:hAnsi="宋体" w:eastAsia="宋体" w:cs="宋体"/>
          <w:b/>
          <w:color w:val="auto"/>
          <w:sz w:val="40"/>
          <w:szCs w:val="40"/>
          <w:highlight w:val="none"/>
        </w:rPr>
        <w:t xml:space="preserve">性：服务类项目</w:t>
      </w:r>
      <w:r/>
    </w:p>
    <w:p>
      <w:pPr>
        <w:ind w:left="-38" w:firstLine="36"/>
        <w:jc w:val="left"/>
        <w:spacing w:line="360" w:lineRule="auto"/>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标的所属行业：其他未列明行业</w:t>
      </w:r>
      <w:r/>
    </w:p>
    <w:p>
      <w:pPr>
        <w:ind w:hanging="199"/>
        <w:jc w:val="left"/>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u w:val="single"/>
        </w:rPr>
      </w:pPr>
      <w:r>
        <w:rPr>
          <w:rFonts w:hint="eastAsia" w:ascii="宋体" w:hAnsi="宋体" w:eastAsia="宋体" w:cs="宋体"/>
          <w:b/>
          <w:color w:val="auto"/>
          <w:sz w:val="44"/>
          <w:szCs w:val="44"/>
          <w:highlight w:val="none"/>
          <w:u w:val="singl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涵熙（苏州）工程顾问有限公司</w:t>
      </w:r>
      <w:r/>
    </w:p>
    <w:p>
      <w:pPr>
        <w:jc w:val="center"/>
        <w:rPr>
          <w:rFonts w:hint="eastAsia" w:ascii="宋体" w:hAnsi="宋体" w:eastAsia="宋体" w:cs="宋体"/>
          <w:b/>
          <w:color w:val="auto"/>
          <w:sz w:val="44"/>
          <w:szCs w:val="44"/>
          <w:highlight w:val="none"/>
        </w:rPr>
        <w:sectPr>
          <w:headerReference w:type="default" r:id="rId9"/>
          <w:headerReference w:type="even" r:id="rId10"/>
          <w:headerReference w:type="first" r:id="rId11"/>
          <w:footerReference w:type="default" r:id="rId12"/>
          <w:footerReference w:type="even" r:id="rId13"/>
          <w:footnotePr/>
          <w:endnotePr/>
          <w:type w:val="nextPage"/>
          <w:pgSz w:w="11907" w:h="16840" w:orient="portrait"/>
          <w:pgMar w:top="1134" w:right="242" w:bottom="1418" w:left="1365" w:header="567" w:footer="794" w:gutter="0"/>
          <w:pgNumType w:start="0"/>
          <w:cols w:num="1" w:sep="0" w:space="720" w:equalWidth="1"/>
          <w:docGrid w:linePitch="360"/>
          <w:titlePg/>
        </w:sectPr>
      </w:pPr>
      <w:r>
        <w:rPr>
          <w:rFonts w:hint="eastAsia" w:ascii="宋体" w:hAnsi="宋体" w:eastAsia="宋体" w:cs="宋体"/>
          <w:b/>
          <w:color w:val="auto"/>
          <w:sz w:val="44"/>
          <w:szCs w:val="44"/>
          <w:highlight w:val="none"/>
        </w:rPr>
        <w:t xml:space="preserve">2025年</w:t>
      </w:r>
      <w:r>
        <w:rPr>
          <w:rFonts w:hint="eastAsia" w:ascii="宋体" w:hAnsi="宋体" w:eastAsia="宋体" w:cs="宋体"/>
          <w:b/>
          <w:color w:val="auto"/>
          <w:sz w:val="44"/>
          <w:szCs w:val="44"/>
          <w:highlight w:val="none"/>
          <w:lang w:val="en-US" w:eastAsia="zh-CN"/>
        </w:rPr>
        <w:t xml:space="preserve">12</w:t>
      </w:r>
      <w:r>
        <w:rPr>
          <w:rFonts w:hint="eastAsia" w:ascii="宋体" w:hAnsi="宋体" w:eastAsia="宋体" w:cs="宋体"/>
          <w:b/>
          <w:color w:val="auto"/>
          <w:sz w:val="44"/>
          <w:szCs w:val="44"/>
          <w:highlight w:val="none"/>
        </w:rPr>
        <w:t xml:space="preserve">月</w:t>
      </w:r>
      <w:r>
        <w:rPr>
          <w:rFonts w:hint="eastAsia" w:ascii="宋体" w:hAnsi="宋体" w:eastAsia="宋体" w:cs="宋体"/>
          <w:b/>
          <w:color w:val="auto"/>
          <w:sz w:val="44"/>
          <w:szCs w:val="44"/>
          <w:highlight w:val="none"/>
          <w:lang w:val="en-US" w:eastAsia="zh-CN"/>
        </w:rPr>
        <w:t xml:space="preserve">02</w:t>
      </w:r>
      <w:r>
        <w:rPr>
          <w:rFonts w:hint="eastAsia" w:ascii="宋体" w:hAnsi="宋体" w:eastAsia="宋体" w:cs="宋体"/>
          <w:b/>
          <w:color w:val="auto"/>
          <w:sz w:val="44"/>
          <w:szCs w:val="44"/>
          <w:highlight w:val="none"/>
        </w:rPr>
        <w:t xml:space="preserve">日</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目录</w:t>
      </w:r>
      <w:bookmarkStart w:id="0" w:name="_Toc158691765"/>
      <w:r/>
      <w:r/>
    </w:p>
    <w:p>
      <w:pPr>
        <w:pStyle w:val="1045"/>
        <w:tabs>
          <w:tab w:val="clear" w:pos="9450" w:leader="none"/>
          <w:tab w:val="right" w:pos="9660" w:leader="dot"/>
        </w:tabs>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_Toc27195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第一章 投标邀请</w:t>
      </w:r>
      <w:r>
        <w:tab/>
      </w:r>
      <w:r>
        <w:fldChar w:fldCharType="begin"/>
      </w:r>
      <w:r>
        <w:instrText xml:space="preserve"> PAGEREF _Toc27195 \h </w:instrText>
      </w:r>
      <w:r>
        <w:fldChar w:fldCharType="separate"/>
      </w:r>
      <w:r>
        <w:t xml:space="preserve">1</w:t>
      </w:r>
      <w:r/>
      <w:r>
        <w:fldChar w:fldCharType="end"/>
      </w:r>
      <w:r>
        <w:rPr>
          <w:rFonts w:hint="eastAsia" w:ascii="宋体" w:hAnsi="宋体" w:eastAsia="宋体" w:cs="宋体"/>
          <w:color w:val="auto"/>
          <w:highlight w:val="none"/>
        </w:rPr>
        <w:fldChar w:fldCharType="end"/>
      </w:r>
      <w:r/>
    </w:p>
    <w:p>
      <w:pPr>
        <w:pStyle w:val="104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_Toc2326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第二章 投标人须知</w:t>
      </w:r>
      <w:r>
        <w:tab/>
      </w:r>
      <w:r>
        <w:fldChar w:fldCharType="begin"/>
      </w:r>
      <w:r>
        <w:instrText xml:space="preserve"> PAGEREF _Toc2326 \h </w:instrText>
      </w:r>
      <w:r>
        <w:fldChar w:fldCharType="separate"/>
      </w:r>
      <w:r>
        <w:t xml:space="preserve">4</w:t>
      </w:r>
      <w:r/>
      <w:r>
        <w:fldChar w:fldCharType="end"/>
      </w:r>
      <w:r>
        <w:rPr>
          <w:rFonts w:hint="eastAsia" w:ascii="宋体" w:hAnsi="宋体" w:eastAsia="宋体" w:cs="宋体"/>
          <w:color w:val="auto"/>
          <w:szCs w:val="36"/>
          <w:highlight w:val="none"/>
        </w:rPr>
        <w:fldChar w:fldCharType="end"/>
      </w:r>
      <w:r/>
    </w:p>
    <w:p>
      <w:pPr>
        <w:pStyle w:val="1035"/>
        <w:tabs>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_Toc4050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一、总则</w:t>
      </w:r>
      <w:r>
        <w:tab/>
      </w:r>
      <w:r>
        <w:fldChar w:fldCharType="begin"/>
      </w:r>
      <w:r>
        <w:instrText xml:space="preserve"> PAGEREF _Toc4050 \h </w:instrText>
      </w:r>
      <w:r>
        <w:fldChar w:fldCharType="separate"/>
      </w:r>
      <w:r>
        <w:t xml:space="preserve">4</w:t>
      </w:r>
      <w:r/>
      <w:r>
        <w:fldChar w:fldCharType="end"/>
      </w:r>
      <w:r>
        <w:rPr>
          <w:rFonts w:hint="eastAsia" w:ascii="宋体" w:hAnsi="宋体" w:eastAsia="宋体" w:cs="宋体"/>
          <w:color w:val="auto"/>
          <w:szCs w:val="36"/>
          <w:highlight w:val="none"/>
        </w:rPr>
        <w:fldChar w:fldCharType="end"/>
      </w:r>
      <w:r/>
    </w:p>
    <w:p>
      <w:pPr>
        <w:pStyle w:val="1035"/>
        <w:tabs>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_Toc11872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二、招标文件</w:t>
      </w:r>
      <w:r>
        <w:tab/>
      </w:r>
      <w:r>
        <w:fldChar w:fldCharType="begin"/>
      </w:r>
      <w:r>
        <w:instrText xml:space="preserve"> PAGEREF _Toc11872 \h </w:instrText>
      </w:r>
      <w:r>
        <w:fldChar w:fldCharType="separate"/>
      </w:r>
      <w:r>
        <w:t xml:space="preserve">4</w:t>
      </w:r>
      <w:r/>
      <w:r>
        <w:fldChar w:fldCharType="end"/>
      </w:r>
      <w:r>
        <w:rPr>
          <w:rFonts w:hint="eastAsia" w:ascii="宋体" w:hAnsi="宋体" w:eastAsia="宋体" w:cs="宋体"/>
          <w:color w:val="auto"/>
          <w:szCs w:val="36"/>
          <w:highlight w:val="none"/>
        </w:rPr>
        <w:fldChar w:fldCharType="end"/>
      </w:r>
      <w:r/>
    </w:p>
    <w:p>
      <w:pPr>
        <w:pStyle w:val="1035"/>
        <w:tabs>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_Toc25697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三、投标文件的编制</w:t>
      </w:r>
      <w:r>
        <w:tab/>
      </w:r>
      <w:r>
        <w:fldChar w:fldCharType="begin"/>
      </w:r>
      <w:r>
        <w:instrText xml:space="preserve"> PAGEREF _Toc25697 \h </w:instrText>
      </w:r>
      <w:r>
        <w:fldChar w:fldCharType="separate"/>
      </w:r>
      <w:r>
        <w:t xml:space="preserve">5</w:t>
      </w:r>
      <w:r/>
      <w:r>
        <w:fldChar w:fldCharType="end"/>
      </w:r>
      <w:r>
        <w:rPr>
          <w:rFonts w:hint="eastAsia" w:ascii="宋体" w:hAnsi="宋体" w:eastAsia="宋体" w:cs="宋体"/>
          <w:color w:val="auto"/>
          <w:szCs w:val="36"/>
          <w:highlight w:val="none"/>
        </w:rPr>
        <w:fldChar w:fldCharType="end"/>
      </w:r>
      <w:r/>
    </w:p>
    <w:p>
      <w:pPr>
        <w:pStyle w:val="1035"/>
        <w:tabs>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_Toc20366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四、投标文件的递交</w:t>
      </w:r>
      <w:r>
        <w:tab/>
      </w:r>
      <w:r>
        <w:fldChar w:fldCharType="begin"/>
      </w:r>
      <w:r>
        <w:instrText xml:space="preserve"> PAGEREF _Toc20366 \h </w:instrText>
      </w:r>
      <w:r>
        <w:fldChar w:fldCharType="separate"/>
      </w:r>
      <w:r>
        <w:t xml:space="preserve">6</w:t>
      </w:r>
      <w:r/>
      <w:r>
        <w:fldChar w:fldCharType="end"/>
      </w:r>
      <w:r>
        <w:rPr>
          <w:rFonts w:hint="eastAsia" w:ascii="宋体" w:hAnsi="宋体" w:eastAsia="宋体" w:cs="宋体"/>
          <w:color w:val="auto"/>
          <w:szCs w:val="36"/>
          <w:highlight w:val="none"/>
        </w:rPr>
        <w:fldChar w:fldCharType="end"/>
      </w:r>
      <w:r/>
    </w:p>
    <w:p>
      <w:pPr>
        <w:pStyle w:val="1035"/>
        <w:tabs>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_Toc24553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五、开标与评审</w:t>
      </w:r>
      <w:r>
        <w:tab/>
      </w:r>
      <w:r>
        <w:fldChar w:fldCharType="begin"/>
      </w:r>
      <w:r>
        <w:instrText xml:space="preserve"> PAGEREF _Toc24553 \h </w:instrText>
      </w:r>
      <w:r>
        <w:fldChar w:fldCharType="separate"/>
      </w:r>
      <w:r>
        <w:t xml:space="preserve">7</w:t>
      </w:r>
      <w:r/>
      <w:r>
        <w:fldChar w:fldCharType="end"/>
      </w:r>
      <w:r>
        <w:rPr>
          <w:rFonts w:hint="eastAsia" w:ascii="宋体" w:hAnsi="宋体" w:eastAsia="宋体" w:cs="宋体"/>
          <w:color w:val="auto"/>
          <w:szCs w:val="36"/>
          <w:highlight w:val="none"/>
        </w:rPr>
        <w:fldChar w:fldCharType="end"/>
      </w:r>
      <w:r/>
    </w:p>
    <w:p>
      <w:pPr>
        <w:pStyle w:val="1035"/>
        <w:tabs>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_Toc3301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六、定标</w:t>
      </w:r>
      <w:r>
        <w:tab/>
      </w:r>
      <w:r>
        <w:fldChar w:fldCharType="begin"/>
      </w:r>
      <w:r>
        <w:instrText xml:space="preserve"> PAGEREF _Toc3301 \h </w:instrText>
      </w:r>
      <w:r>
        <w:fldChar w:fldCharType="separate"/>
      </w:r>
      <w:r>
        <w:t xml:space="preserve">11</w:t>
      </w:r>
      <w:r/>
      <w:r>
        <w:fldChar w:fldCharType="end"/>
      </w:r>
      <w:r>
        <w:rPr>
          <w:rFonts w:hint="eastAsia" w:ascii="宋体" w:hAnsi="宋体" w:eastAsia="宋体" w:cs="宋体"/>
          <w:color w:val="auto"/>
          <w:szCs w:val="36"/>
          <w:highlight w:val="none"/>
        </w:rPr>
        <w:fldChar w:fldCharType="end"/>
      </w:r>
      <w:r/>
    </w:p>
    <w:p>
      <w:pPr>
        <w:pStyle w:val="1035"/>
        <w:tabs>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_Toc12475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七、授予合同</w:t>
      </w:r>
      <w:r>
        <w:tab/>
      </w:r>
      <w:r>
        <w:fldChar w:fldCharType="begin"/>
      </w:r>
      <w:r>
        <w:instrText xml:space="preserve"> PAGEREF _Toc12475 \h </w:instrText>
      </w:r>
      <w:r>
        <w:fldChar w:fldCharType="separate"/>
      </w:r>
      <w:r>
        <w:t xml:space="preserve">13</w:t>
      </w:r>
      <w:r/>
      <w:r>
        <w:fldChar w:fldCharType="end"/>
      </w:r>
      <w:r>
        <w:rPr>
          <w:rFonts w:hint="eastAsia" w:ascii="宋体" w:hAnsi="宋体" w:eastAsia="宋体" w:cs="宋体"/>
          <w:color w:val="auto"/>
          <w:szCs w:val="36"/>
          <w:highlight w:val="none"/>
        </w:rPr>
        <w:fldChar w:fldCharType="end"/>
      </w:r>
      <w:r/>
    </w:p>
    <w:p>
      <w:pPr>
        <w:pStyle w:val="104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_Toc13834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第三章 合同文本</w:t>
      </w:r>
      <w:r>
        <w:tab/>
      </w:r>
      <w:r>
        <w:fldChar w:fldCharType="begin"/>
      </w:r>
      <w:r>
        <w:instrText xml:space="preserve"> PAGEREF _Toc13834 \h </w:instrText>
      </w:r>
      <w:r>
        <w:fldChar w:fldCharType="separate"/>
      </w:r>
      <w:r>
        <w:t xml:space="preserve">14</w:t>
      </w:r>
      <w:r/>
      <w:r>
        <w:fldChar w:fldCharType="end"/>
      </w:r>
      <w:r>
        <w:rPr>
          <w:rFonts w:hint="eastAsia" w:ascii="宋体" w:hAnsi="宋体" w:eastAsia="宋体" w:cs="宋体"/>
          <w:color w:val="auto"/>
          <w:szCs w:val="36"/>
          <w:highlight w:val="none"/>
        </w:rPr>
        <w:fldChar w:fldCharType="end"/>
      </w:r>
      <w:r/>
    </w:p>
    <w:p>
      <w:pPr>
        <w:pStyle w:val="104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_Toc16412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第四章 采购需求</w:t>
      </w:r>
      <w:r>
        <w:tab/>
      </w:r>
      <w:r>
        <w:fldChar w:fldCharType="begin"/>
      </w:r>
      <w:r>
        <w:instrText xml:space="preserve"> PAGEREF _Toc16412 \h </w:instrText>
      </w:r>
      <w:r>
        <w:fldChar w:fldCharType="separate"/>
      </w:r>
      <w:r>
        <w:t xml:space="preserve">23</w:t>
      </w:r>
      <w:r/>
      <w:r>
        <w:fldChar w:fldCharType="end"/>
      </w:r>
      <w:r>
        <w:rPr>
          <w:rFonts w:hint="eastAsia" w:ascii="宋体" w:hAnsi="宋体" w:eastAsia="宋体" w:cs="宋体"/>
          <w:color w:val="auto"/>
          <w:szCs w:val="36"/>
          <w:highlight w:val="none"/>
        </w:rPr>
        <w:fldChar w:fldCharType="end"/>
      </w:r>
      <w:r/>
    </w:p>
    <w:p>
      <w:pPr>
        <w:pStyle w:val="104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_Toc22109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第五章 评审方法与评审标准</w:t>
      </w:r>
      <w:r>
        <w:tab/>
      </w:r>
      <w:r>
        <w:fldChar w:fldCharType="begin"/>
      </w:r>
      <w:r>
        <w:instrText xml:space="preserve"> PAGEREF _Toc22109 \h </w:instrText>
      </w:r>
      <w:r>
        <w:fldChar w:fldCharType="separate"/>
      </w:r>
      <w:r>
        <w:t xml:space="preserve">28</w:t>
      </w:r>
      <w:r/>
      <w:r>
        <w:fldChar w:fldCharType="end"/>
      </w:r>
      <w:r>
        <w:rPr>
          <w:rFonts w:hint="eastAsia" w:ascii="宋体" w:hAnsi="宋体" w:eastAsia="宋体" w:cs="宋体"/>
          <w:color w:val="auto"/>
          <w:szCs w:val="36"/>
          <w:highlight w:val="none"/>
        </w:rPr>
        <w:fldChar w:fldCharType="end"/>
      </w:r>
      <w:r/>
    </w:p>
    <w:p>
      <w:pPr>
        <w:pStyle w:val="104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_Toc19243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第六章 投标文件格式</w:t>
      </w:r>
      <w:r>
        <w:tab/>
      </w:r>
      <w:r>
        <w:fldChar w:fldCharType="begin"/>
      </w:r>
      <w:r>
        <w:instrText xml:space="preserve"> PAGEREF _Toc19243 \h </w:instrText>
      </w:r>
      <w:r>
        <w:fldChar w:fldCharType="separate"/>
      </w:r>
      <w:r>
        <w:t xml:space="preserve">33</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_Toc20438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 开标一览表</w:t>
      </w:r>
      <w:r>
        <w:tab/>
      </w:r>
      <w:r>
        <w:fldChar w:fldCharType="begin"/>
      </w:r>
      <w:r>
        <w:instrText xml:space="preserve"> PAGEREF _Toc20438 \h </w:instrText>
      </w:r>
      <w:r>
        <w:fldChar w:fldCharType="separate"/>
      </w:r>
      <w:r>
        <w:t xml:space="preserve">35</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_Toc20102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 具备履行合同所必需的设备和专业技术能力的书面声明</w:t>
      </w:r>
      <w:r>
        <w:tab/>
      </w:r>
      <w:r>
        <w:fldChar w:fldCharType="begin"/>
      </w:r>
      <w:r>
        <w:instrText xml:space="preserve"> PAGEREF _Toc20102 \h </w:instrText>
      </w:r>
      <w:r>
        <w:fldChar w:fldCharType="separate"/>
      </w:r>
      <w:r>
        <w:t xml:space="preserve">36</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_Toc19087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参加政府采购活动前3年内在经营活动中没有重大违法记录的书面声明</w:t>
      </w:r>
      <w:r>
        <w:tab/>
      </w:r>
      <w:r>
        <w:fldChar w:fldCharType="begin"/>
      </w:r>
      <w:r>
        <w:instrText xml:space="preserve"> PAGEREF _Toc19087 \h </w:instrText>
      </w:r>
      <w:r>
        <w:fldChar w:fldCharType="separate"/>
      </w:r>
      <w:r>
        <w:t xml:space="preserve">37</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_Toc21397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法人授权书</w:t>
      </w:r>
      <w:r>
        <w:tab/>
      </w:r>
      <w:r>
        <w:fldChar w:fldCharType="begin"/>
      </w:r>
      <w:r>
        <w:instrText xml:space="preserve"> PAGEREF _Toc21397 \h </w:instrText>
      </w:r>
      <w:r>
        <w:fldChar w:fldCharType="separate"/>
      </w:r>
      <w:r>
        <w:t xml:space="preserve">38</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_Toc20689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 投标函</w:t>
      </w:r>
      <w:r>
        <w:tab/>
      </w:r>
      <w:r>
        <w:fldChar w:fldCharType="begin"/>
      </w:r>
      <w:r>
        <w:instrText xml:space="preserve"> PAGEREF _Toc20689 \h </w:instrText>
      </w:r>
      <w:r>
        <w:fldChar w:fldCharType="separate"/>
      </w:r>
      <w:r>
        <w:t xml:space="preserve">39</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_Toc8479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 xml:space="preserve">附件</w:t>
      </w:r>
      <w:r>
        <w:rPr>
          <w:rFonts w:hint="eastAsia" w:ascii="宋体" w:hAnsi="宋体" w:eastAsia="宋体" w:cs="宋体"/>
          <w:bCs/>
          <w:szCs w:val="28"/>
          <w:highlight w:val="none"/>
          <w:lang w:val="en-US" w:eastAsia="zh-CN"/>
        </w:rPr>
        <w:t xml:space="preserve">6</w:t>
      </w:r>
      <w:r>
        <w:rPr>
          <w:rFonts w:hint="eastAsia" w:ascii="宋体" w:hAnsi="宋体" w:eastAsia="宋体" w:cs="宋体"/>
          <w:bCs/>
          <w:szCs w:val="28"/>
          <w:highlight w:val="none"/>
        </w:rPr>
        <w:t xml:space="preserve"> 中小企业声明函</w:t>
      </w:r>
      <w:r>
        <w:tab/>
      </w:r>
      <w:r>
        <w:fldChar w:fldCharType="begin"/>
      </w:r>
      <w:r>
        <w:instrText xml:space="preserve"> PAGEREF _Toc8479 \h </w:instrText>
      </w:r>
      <w:r>
        <w:fldChar w:fldCharType="separate"/>
      </w:r>
      <w:r>
        <w:t xml:space="preserve">40</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_Toc25954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 xml:space="preserve">附件</w:t>
      </w:r>
      <w:r>
        <w:rPr>
          <w:rFonts w:hint="eastAsia" w:ascii="宋体" w:hAnsi="宋体" w:eastAsia="宋体" w:cs="宋体"/>
          <w:bCs/>
          <w:szCs w:val="28"/>
          <w:highlight w:val="none"/>
          <w:lang w:val="en-US" w:eastAsia="zh-CN"/>
        </w:rPr>
        <w:t xml:space="preserve">7</w:t>
      </w:r>
      <w:r>
        <w:rPr>
          <w:rFonts w:hint="eastAsia" w:ascii="宋体" w:hAnsi="宋体" w:eastAsia="宋体" w:cs="宋体"/>
          <w:bCs/>
          <w:szCs w:val="28"/>
          <w:highlight w:val="none"/>
        </w:rPr>
        <w:t xml:space="preserve"> 残疾人福利性单位声明函</w:t>
      </w:r>
      <w:r>
        <w:tab/>
      </w:r>
      <w:r>
        <w:fldChar w:fldCharType="begin"/>
      </w:r>
      <w:r>
        <w:instrText xml:space="preserve"> PAGEREF _Toc25954 \h </w:instrText>
      </w:r>
      <w:r>
        <w:fldChar w:fldCharType="separate"/>
      </w:r>
      <w:r>
        <w:t xml:space="preserve">41</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_Toc4485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 实质性要求响应及偏离表</w:t>
      </w:r>
      <w:r>
        <w:tab/>
      </w:r>
      <w:r>
        <w:fldChar w:fldCharType="begin"/>
      </w:r>
      <w:r>
        <w:instrText xml:space="preserve"> PAGEREF _Toc4485 \h </w:instrText>
      </w:r>
      <w:r>
        <w:fldChar w:fldCharType="separate"/>
      </w:r>
      <w:r>
        <w:t xml:space="preserve">42</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_Toc6403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 服务要求响应及偏离表</w:t>
      </w:r>
      <w:r>
        <w:tab/>
      </w:r>
      <w:r>
        <w:fldChar w:fldCharType="begin"/>
      </w:r>
      <w:r>
        <w:instrText xml:space="preserve"> PAGEREF _Toc6403 \h </w:instrText>
      </w:r>
      <w:r>
        <w:fldChar w:fldCharType="separate"/>
      </w:r>
      <w:r>
        <w:t xml:space="preserve">43</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_Toc15048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 项目实施方案</w:t>
      </w:r>
      <w:r>
        <w:tab/>
      </w:r>
      <w:r>
        <w:fldChar w:fldCharType="begin"/>
      </w:r>
      <w:r>
        <w:instrText xml:space="preserve"> PAGEREF _Toc15048 \h </w:instrText>
      </w:r>
      <w:r>
        <w:fldChar w:fldCharType="separate"/>
      </w:r>
      <w:r>
        <w:t xml:space="preserve">44</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_Toc22769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 项目组人员一览表</w:t>
      </w:r>
      <w:r>
        <w:tab/>
      </w:r>
      <w:r>
        <w:fldChar w:fldCharType="begin"/>
      </w:r>
      <w:r>
        <w:instrText xml:space="preserve"> PAGEREF _Toc22769 \h </w:instrText>
      </w:r>
      <w:r>
        <w:fldChar w:fldCharType="separate"/>
      </w:r>
      <w:r>
        <w:t xml:space="preserve">45</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_Toc12157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 业绩一览表</w:t>
      </w:r>
      <w:r>
        <w:tab/>
      </w:r>
      <w:r>
        <w:fldChar w:fldCharType="begin"/>
      </w:r>
      <w:r>
        <w:instrText xml:space="preserve"> PAGEREF _Toc12157 \h </w:instrText>
      </w:r>
      <w:r>
        <w:fldChar w:fldCharType="separate"/>
      </w:r>
      <w:r>
        <w:t xml:space="preserve">46</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_Toc9843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商务条件响应及偏离表</w:t>
      </w:r>
      <w:r>
        <w:tab/>
      </w:r>
      <w:r>
        <w:fldChar w:fldCharType="begin"/>
      </w:r>
      <w:r>
        <w:instrText xml:space="preserve"> PAGEREF _Toc9843 \h </w:instrText>
      </w:r>
      <w:r>
        <w:fldChar w:fldCharType="separate"/>
      </w:r>
      <w:r>
        <w:t xml:space="preserve">47</w:t>
      </w:r>
      <w:r/>
      <w:r>
        <w:fldChar w:fldCharType="end"/>
      </w:r>
      <w:r>
        <w:rPr>
          <w:rFonts w:hint="eastAsia" w:ascii="宋体" w:hAnsi="宋体" w:eastAsia="宋体" w:cs="宋体"/>
          <w:color w:val="auto"/>
          <w:szCs w:val="36"/>
          <w:highlight w:val="none"/>
        </w:rPr>
        <w:fldChar w:fldCharType="end"/>
      </w:r>
      <w:r/>
    </w:p>
    <w:p>
      <w:pPr>
        <w:pStyle w:val="1055"/>
        <w:tabs>
          <w:tab w:val="clear" w:pos="9450" w:leader="none"/>
          <w:tab w:val="right" w:pos="9660" w:leader="dot"/>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_Toc26804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供应商与其他单位存在直接控股、管理关系情况表</w:t>
      </w:r>
      <w:r>
        <w:tab/>
      </w:r>
      <w:r>
        <w:fldChar w:fldCharType="begin"/>
      </w:r>
      <w:r>
        <w:instrText xml:space="preserve"> PAGEREF _Toc26804 \h </w:instrText>
      </w:r>
      <w:r>
        <w:fldChar w:fldCharType="separate"/>
      </w:r>
      <w:r>
        <w:t xml:space="preserve">48</w:t>
      </w:r>
      <w:r/>
      <w:r>
        <w:fldChar w:fldCharType="end"/>
      </w:r>
      <w:r>
        <w:rPr>
          <w:rFonts w:hint="eastAsia" w:ascii="宋体" w:hAnsi="宋体" w:eastAsia="宋体" w:cs="宋体"/>
          <w:color w:val="auto"/>
          <w:szCs w:val="36"/>
          <w:highlight w:val="none"/>
        </w:rPr>
        <w:fldChar w:fldCharType="end"/>
      </w:r>
      <w:r/>
    </w:p>
    <w:p>
      <w:pPr>
        <w:pStyle w:val="1008"/>
        <w:rPr>
          <w:rFonts w:hint="eastAsia" w:ascii="宋体" w:hAnsi="宋体" w:eastAsia="宋体" w:cs="宋体"/>
          <w:color w:val="auto"/>
          <w:szCs w:val="36"/>
          <w:highlight w:val="none"/>
        </w:rPr>
        <w:sectPr>
          <w:footerReference w:type="default" r:id="rId14"/>
          <w:footerReference w:type="first" r:id="rId15"/>
          <w:footnotePr/>
          <w:endnotePr/>
          <w:type w:val="nextPage"/>
          <w:pgSz w:w="11907" w:h="16840" w:orient="portrait"/>
          <w:pgMar w:top="1134" w:right="882" w:bottom="1134" w:left="1365" w:header="567" w:footer="794" w:gutter="0"/>
          <w:cols w:num="1" w:sep="0" w:space="720" w:equalWidth="1"/>
          <w:docGrid w:linePitch="360"/>
          <w:titlePg/>
        </w:sectPr>
      </w:pPr>
      <w:r>
        <w:rPr>
          <w:rFonts w:hint="eastAsia" w:ascii="宋体" w:hAnsi="宋体" w:eastAsia="宋体" w:cs="宋体"/>
          <w:color w:val="auto"/>
          <w:szCs w:val="36"/>
          <w:highlight w:val="none"/>
        </w:rPr>
        <w:fldChar w:fldCharType="end"/>
      </w:r>
      <w:bookmarkStart w:id="1" w:name="_Toc315868049"/>
      <w:r/>
      <w:bookmarkStart w:id="2" w:name="_Toc315875312"/>
      <w:r/>
      <w:r/>
    </w:p>
    <w:p>
      <w:pPr>
        <w:pStyle w:val="1008"/>
        <w:rPr>
          <w:rFonts w:hint="eastAsia" w:ascii="宋体" w:hAnsi="宋体" w:eastAsia="宋体" w:cs="宋体"/>
          <w:color w:val="auto"/>
          <w:highlight w:val="none"/>
        </w:rPr>
      </w:pPr>
      <w:r/>
      <w:bookmarkStart w:id="3" w:name="_Toc27195"/>
      <w:r>
        <w:rPr>
          <w:rFonts w:hint="eastAsia" w:ascii="宋体" w:hAnsi="宋体" w:eastAsia="宋体" w:cs="宋体"/>
          <w:color w:val="auto"/>
          <w:highlight w:val="none"/>
        </w:rPr>
        <w:t xml:space="preserve">第一章 投标邀请</w:t>
      </w:r>
      <w:bookmarkEnd w:id="0"/>
      <w:r/>
      <w:bookmarkEnd w:id="1"/>
      <w:r/>
      <w:bookmarkEnd w:id="2"/>
      <w:r/>
      <w:bookmarkEnd w:id="3"/>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常熟高新技术产业开发区管理委员会</w:t>
      </w:r>
      <w:r>
        <w:rPr>
          <w:rFonts w:hint="eastAsia" w:ascii="宋体" w:hAnsi="宋体" w:eastAsia="宋体" w:cs="宋体"/>
          <w:color w:val="auto"/>
          <w:sz w:val="24"/>
          <w:szCs w:val="24"/>
          <w:highlight w:val="none"/>
        </w:rPr>
        <w:t xml:space="preserve">的委托，涵熙（苏州）工程顾问有限公司就</w:t>
      </w:r>
      <w:r>
        <w:rPr>
          <w:rFonts w:hint="eastAsia" w:ascii="宋体" w:hAnsi="宋体" w:eastAsia="宋体" w:cs="宋体"/>
          <w:color w:val="auto"/>
          <w:sz w:val="24"/>
          <w:szCs w:val="24"/>
          <w:highlight w:val="none"/>
          <w:lang w:eastAsia="zh-CN"/>
        </w:rPr>
        <w:t xml:space="preserve">2026-2027年度成片开发及土地报批服务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JSZC-320581-HXGW-G2025-0074</w:t>
      </w:r>
      <w:r>
        <w:rPr>
          <w:rFonts w:hint="eastAsia" w:ascii="宋体" w:hAnsi="宋体" w:eastAsia="宋体" w:cs="宋体"/>
          <w:color w:val="auto"/>
          <w:sz w:val="24"/>
          <w:szCs w:val="24"/>
          <w:highlight w:val="none"/>
        </w:rPr>
        <w:t xml:space="preserve">）项目进行公开招标采购，欢迎符合条件的供应商投标。</w:t>
      </w:r>
      <w:r/>
    </w:p>
    <w:tbl>
      <w:tblPr>
        <w:tblStyle w:val="10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trHeight w:val="1414"/>
        </w:trPr>
        <w:tc>
          <w:tcPr>
            <w:tcW w:w="9876" w:type="dxa"/>
            <w:textDirection w:val="lrTb"/>
            <w:noWrap w:val="false"/>
          </w:tcPr>
          <w:p>
            <w:pPr>
              <w:jc w:val="left"/>
              <w:spacing w:line="440" w:lineRule="exact"/>
              <w:rPr>
                <w:rFonts w:hint="eastAsia" w:ascii="宋体" w:hAnsi="宋体" w:eastAsia="宋体" w:cs="宋体"/>
                <w:color w:val="auto"/>
                <w:sz w:val="24"/>
                <w:szCs w:val="24"/>
                <w:highlight w:val="none"/>
              </w:rPr>
            </w:pPr>
            <w:r/>
            <w:bookmarkStart w:id="4" w:name="OLE_LINK1"/>
            <w:r>
              <w:rPr>
                <w:rFonts w:hint="eastAsia" w:ascii="宋体" w:hAnsi="宋体" w:eastAsia="宋体" w:cs="宋体"/>
                <w:color w:val="auto"/>
                <w:sz w:val="24"/>
                <w:szCs w:val="24"/>
                <w:highlight w:val="none"/>
              </w:rPr>
              <w:t xml:space="preserve">项目概况：</w:t>
            </w:r>
            <w:r/>
          </w:p>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2026-2027年度成片开发及土地报批服务</w:t>
            </w:r>
            <w:r>
              <w:rPr>
                <w:rFonts w:hint="eastAsia" w:ascii="宋体" w:hAnsi="宋体" w:eastAsia="宋体" w:cs="宋体"/>
                <w:color w:val="auto"/>
                <w:sz w:val="24"/>
                <w:szCs w:val="24"/>
                <w:highlight w:val="none"/>
              </w:rPr>
              <w:t xml:space="preserve">项目的潜在供应商应在“苏采云政府采购一体化平台”中参与项目获取招标文件，并于</w:t>
            </w:r>
            <w:r>
              <w:rPr>
                <w:rFonts w:hint="eastAsia" w:ascii="宋体" w:hAnsi="宋体" w:eastAsia="宋体" w:cs="宋体"/>
                <w:color w:val="auto"/>
                <w:sz w:val="24"/>
                <w:szCs w:val="24"/>
                <w:highlight w:val="none"/>
                <w:u w:val="single"/>
              </w:rPr>
              <w:t xml:space="preserve">2025年</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25</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（北京时间）前按规定提交投标文件。</w:t>
            </w:r>
            <w:r/>
          </w:p>
        </w:tc>
      </w:tr>
    </w:tbl>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JSZC-320581-HXGW-G2025-0074</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2026-2027年度成片开发及土地报批服务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351.00</w:t>
      </w:r>
      <w:r>
        <w:rPr>
          <w:rFonts w:hint="eastAsia" w:ascii="宋体" w:hAnsi="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p>
    <w:p>
      <w:pPr>
        <w:ind w:firstLine="480"/>
        <w:spacing w:line="440" w:lineRule="exact"/>
        <w:rPr>
          <w:rFonts w:hint="eastAsia" w:ascii="宋体" w:hAnsi="宋体" w:eastAsia="宋体" w:cs="宋体"/>
          <w:color w:val="auto"/>
          <w:sz w:val="24"/>
          <w:szCs w:val="24"/>
          <w:highlight w:val="none"/>
        </w:rPr>
      </w:pPr>
      <w:r/>
      <w:bookmarkStart w:id="5" w:name="_Toc35393791"/>
      <w:r/>
      <w:bookmarkStart w:id="6" w:name="_Toc28359080"/>
      <w:r/>
      <w:bookmarkStart w:id="7" w:name="_Toc35393622"/>
      <w:r/>
      <w:bookmarkStart w:id="8" w:name="_Toc28359003"/>
      <w:r>
        <w:rPr>
          <w:rFonts w:hint="eastAsia" w:ascii="宋体" w:hAnsi="宋体" w:eastAsia="宋体" w:cs="宋体"/>
          <w:color w:val="auto"/>
          <w:sz w:val="24"/>
          <w:szCs w:val="24"/>
          <w:highlight w:val="none"/>
        </w:rPr>
        <w:t xml:space="preserve">采购需求：本项目采购内容为</w:t>
      </w:r>
      <w:r>
        <w:rPr>
          <w:rFonts w:hint="eastAsia" w:ascii="宋体" w:hAnsi="宋体" w:eastAsia="宋体" w:cs="宋体"/>
          <w:color w:val="auto"/>
          <w:sz w:val="24"/>
          <w:szCs w:val="24"/>
          <w:highlight w:val="none"/>
          <w:lang w:eastAsia="zh-CN"/>
        </w:rPr>
        <w:t xml:space="preserve">常熟高新技术产业开发区管理委员会</w:t>
      </w:r>
      <w:r>
        <w:rPr>
          <w:rFonts w:hint="eastAsia" w:ascii="宋体" w:hAnsi="宋体" w:eastAsia="宋体" w:cs="宋体"/>
          <w:color w:val="auto"/>
          <w:sz w:val="24"/>
          <w:szCs w:val="24"/>
          <w:highlight w:val="none"/>
        </w:rPr>
        <w:t xml:space="preserve">所需的</w:t>
      </w:r>
      <w:r>
        <w:rPr>
          <w:rFonts w:hint="eastAsia" w:ascii="宋体" w:hAnsi="宋体" w:eastAsia="宋体" w:cs="宋体"/>
          <w:color w:val="auto"/>
          <w:sz w:val="24"/>
          <w:szCs w:val="24"/>
          <w:highlight w:val="none"/>
          <w:lang w:eastAsia="zh-CN"/>
        </w:rPr>
        <w:t xml:space="preserve">2026-2027年度成片开发及土地报批服务，主要内容包括土地征收成片开发方案编制，土地征收成片开发方案调整（一般调整、简易调整），增减挂钩实施方案报批（土地转用、征收），独立选址项目用地报批，城镇建设用地报批（土地转用、征收）</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自签订合同之日起至2027年12月31日</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5"/>
      <w:r/>
      <w:bookmarkEnd w:id="6"/>
      <w:r/>
      <w:bookmarkEnd w:id="7"/>
      <w:r/>
      <w:bookmarkEnd w:id="8"/>
      <w:r/>
      <w:r/>
    </w:p>
    <w:p>
      <w:pPr>
        <w:ind w:firstLine="480"/>
        <w:spacing w:line="440" w:lineRule="exact"/>
        <w:rPr>
          <w:rFonts w:hint="eastAsia" w:ascii="宋体" w:hAnsi="宋体" w:eastAsia="宋体" w:cs="宋体"/>
          <w:color w:val="auto"/>
          <w:sz w:val="24"/>
          <w:szCs w:val="24"/>
          <w:highlight w:val="none"/>
        </w:rPr>
      </w:pPr>
      <w:r/>
      <w:bookmarkStart w:id="9" w:name="_Toc35393796"/>
      <w:r/>
      <w:bookmarkStart w:id="10" w:name="_Toc28359085"/>
      <w:r/>
      <w:bookmarkStart w:id="11" w:name="_Toc35393627"/>
      <w:r/>
      <w:bookmarkStart w:id="12" w:name="_Toc28359008"/>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本项目专门面向中小企业采购，所属行业为其他未列明行业，投标时须提供《中小企业声明函》。</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注：对残疾人福利性单位、监狱企业视同小型、微型企业，但须按要求提供有关声明函或证明文件。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3、本项目的特定资格要求：无。</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方式：在“苏采云政府采购一体化平台”自行免费下载招标文件。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与采购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售价：免费。</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2025年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点00分（北京时间）</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本项目采用不见面开标，供应商登录“苏采云”系统在平台首页点击“开标大厅”，进入江苏省政府采购一体化不见面开标（采购）大厅，选择对应项目，并按系统提示完成开标流程。</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开标地点：苏采云系统网上开标大厅</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4"/>
      <w:r/>
      <w:bookmarkEnd w:id="9"/>
      <w:r/>
      <w:bookmarkEnd w:id="10"/>
      <w:r/>
      <w:bookmarkEnd w:id="11"/>
      <w:r/>
      <w:bookmarkEnd w:id="12"/>
      <w:r>
        <w:rPr>
          <w:rFonts w:hint="eastAsia" w:ascii="宋体" w:hAnsi="宋体" w:eastAsia="宋体" w:cs="宋体"/>
          <w:b/>
          <w:color w:val="auto"/>
          <w:sz w:val="24"/>
          <w:szCs w:val="24"/>
          <w:highlight w:val="none"/>
        </w:rPr>
        <w:t xml:space="preserve">公告期限：</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2、供应商在“苏采云”系统操作过程中如有疑问，请按以下方式联系：</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3、有关本次采购的事项若存在变动或修改，敬请及时关注“苏州市政府采购网”发布的更正公告</w:t>
      </w:r>
      <w:bookmarkStart w:id="13" w:name="_Hlk87882297"/>
      <w:r>
        <w:rPr>
          <w:rFonts w:hint="eastAsia" w:ascii="宋体" w:hAnsi="宋体" w:eastAsia="宋体" w:cs="宋体"/>
          <w:color w:val="auto"/>
          <w:sz w:val="24"/>
          <w:szCs w:val="32"/>
          <w:highlight w:val="none"/>
        </w:rPr>
        <w:t xml:space="preserve">，并按规定获取相关信息内容。</w:t>
      </w:r>
      <w:bookmarkEnd w:id="13"/>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4、本次采购项目有关时间要求均以北京时间为标准，使用24小时制。</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5、公告媒体：</w:t>
      </w:r>
      <w:r>
        <w:rPr>
          <w:rFonts w:hint="eastAsia" w:ascii="宋体" w:hAnsi="宋体" w:eastAsia="宋体" w:cs="宋体"/>
          <w:color w:val="auto"/>
          <w:sz w:val="24"/>
          <w:highlight w:val="none"/>
        </w:rPr>
        <w:t xml:space="preserve">苏州市政府采购网、江苏政府采购网</w:t>
      </w:r>
      <w:r>
        <w:rPr>
          <w:rFonts w:hint="eastAsia" w:ascii="宋体" w:hAnsi="宋体" w:eastAsia="宋体" w:cs="宋体"/>
          <w:color w:val="auto"/>
          <w:sz w:val="24"/>
          <w:szCs w:val="32"/>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 xml:space="preserve">6、</w:t>
      </w:r>
      <w:r>
        <w:rPr>
          <w:rFonts w:hint="eastAsia" w:ascii="宋体" w:hAnsi="宋体" w:eastAsia="宋体" w:cs="宋体"/>
          <w:color w:val="auto"/>
          <w:sz w:val="24"/>
          <w:szCs w:val="24"/>
          <w:highlight w:val="none"/>
        </w:rPr>
        <w:t xml:space="preserve">其他要求：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 xml:space="preserve">（2）单位负责人为同一人或者存在直接控股、管理关系的不同投标人，不得参加同一合同项下的政府采购活动。</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七、凡对本次采购提出询问，请按以下方式联系。</w:t>
      </w:r>
      <w:r/>
    </w:p>
    <w:p>
      <w:pPr>
        <w:ind w:firstLine="480"/>
        <w:spacing w:line="440" w:lineRule="exact"/>
        <w:rPr>
          <w:rFonts w:hint="eastAsia" w:ascii="宋体" w:hAnsi="宋体" w:eastAsia="宋体" w:cs="宋体"/>
          <w:color w:val="auto"/>
          <w:sz w:val="24"/>
          <w:szCs w:val="32"/>
          <w:highlight w:val="none"/>
        </w:rPr>
      </w:pPr>
      <w:r/>
      <w:bookmarkStart w:id="14" w:name="_Toc158691766"/>
      <w:r/>
      <w:bookmarkStart w:id="15" w:name="_Toc315875313"/>
      <w:r/>
      <w:bookmarkStart w:id="16" w:name="_Toc315868050"/>
      <w:r>
        <w:rPr>
          <w:rFonts w:hint="eastAsia" w:ascii="宋体" w:hAnsi="宋体" w:eastAsia="宋体" w:cs="宋体"/>
          <w:color w:val="auto"/>
          <w:sz w:val="24"/>
          <w:szCs w:val="32"/>
          <w:highlight w:val="none"/>
        </w:rPr>
        <w:t xml:space="preserve">1、采购人信息</w:t>
      </w:r>
      <w:r/>
    </w:p>
    <w:p>
      <w:pPr>
        <w:ind w:firstLine="480"/>
        <w:spacing w:line="440" w:lineRule="exact"/>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单位名称：</w:t>
      </w:r>
      <w:r>
        <w:rPr>
          <w:rFonts w:hint="eastAsia" w:ascii="宋体" w:hAnsi="宋体" w:eastAsia="宋体" w:cs="宋体"/>
          <w:color w:val="auto"/>
          <w:sz w:val="24"/>
          <w:szCs w:val="32"/>
          <w:highlight w:val="none"/>
          <w:lang w:eastAsia="zh-CN"/>
        </w:rPr>
        <w:t xml:space="preserve">常熟高新技术产业开发区管理委员会</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单位地址：常熟市东南大道288号</w:t>
      </w:r>
      <w:r/>
    </w:p>
    <w:p>
      <w:pPr>
        <w:ind w:firstLine="480"/>
        <w:spacing w:line="440" w:lineRule="exact"/>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联系人：</w:t>
      </w:r>
      <w:r>
        <w:rPr>
          <w:rFonts w:hint="eastAsia" w:ascii="宋体" w:hAnsi="宋体" w:eastAsia="宋体" w:cs="宋体"/>
          <w:color w:val="auto"/>
          <w:sz w:val="24"/>
          <w:szCs w:val="32"/>
          <w:highlight w:val="none"/>
          <w:lang w:eastAsia="zh-CN"/>
        </w:rPr>
        <w:t xml:space="preserve">钱祎丹</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联系方式：</w:t>
      </w:r>
      <w:bookmarkStart w:id="17" w:name="_Toc28359086"/>
      <w:r/>
      <w:bookmarkStart w:id="18" w:name="_Toc28359009"/>
      <w:r>
        <w:rPr>
          <w:rFonts w:hint="eastAsia" w:ascii="宋体" w:hAnsi="宋体" w:eastAsia="宋体" w:cs="宋体"/>
          <w:color w:val="auto"/>
          <w:sz w:val="24"/>
          <w:szCs w:val="32"/>
          <w:highlight w:val="none"/>
        </w:rPr>
        <w:t xml:space="preserve">0512-52579929</w:t>
      </w:r>
      <w:bookmarkEnd w:id="17"/>
      <w:r/>
      <w:bookmarkEnd w:id="18"/>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2、采购代理机构信息</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单位名称：涵熙（苏州）工程顾问有限公司</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单位地址：常熟市山茶花路10号</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联系人：</w:t>
      </w:r>
      <w:r>
        <w:rPr>
          <w:rFonts w:hint="eastAsia" w:ascii="宋体" w:hAnsi="宋体" w:eastAsia="宋体" w:cs="宋体"/>
          <w:color w:val="auto"/>
          <w:sz w:val="24"/>
          <w:szCs w:val="24"/>
          <w:highlight w:val="none"/>
        </w:rPr>
        <w:t xml:space="preserve">王蔼玲、杜毓蓉</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联系方式：0512-52952666</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3、项目联系方式</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项目联系人：</w:t>
      </w:r>
      <w:r>
        <w:rPr>
          <w:rFonts w:hint="eastAsia" w:ascii="宋体" w:hAnsi="宋体" w:eastAsia="宋体" w:cs="宋体"/>
          <w:color w:val="auto"/>
          <w:sz w:val="24"/>
          <w:szCs w:val="24"/>
          <w:highlight w:val="none"/>
        </w:rPr>
        <w:t xml:space="preserve">王蔼玲、杜毓蓉</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电话：0512-52952666</w:t>
      </w:r>
      <w:r/>
    </w:p>
    <w:p>
      <w:pPr>
        <w:ind w:firstLine="5400"/>
        <w:jc w:val="righ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08"/>
        <w:rPr>
          <w:rFonts w:hint="eastAsia" w:ascii="宋体" w:hAnsi="宋体" w:eastAsia="宋体" w:cs="宋体"/>
          <w:color w:val="auto"/>
          <w:highlight w:val="none"/>
        </w:rPr>
      </w:pPr>
      <w:r/>
      <w:bookmarkStart w:id="19" w:name="_Toc2326"/>
      <w:r>
        <w:rPr>
          <w:rFonts w:hint="eastAsia" w:ascii="宋体" w:hAnsi="宋体" w:eastAsia="宋体" w:cs="宋体"/>
          <w:color w:val="auto"/>
          <w:highlight w:val="none"/>
        </w:rPr>
        <w:t xml:space="preserve">第二章 投标人须知</w:t>
      </w:r>
      <w:bookmarkEnd w:id="14"/>
      <w:r/>
      <w:bookmarkEnd w:id="15"/>
      <w:r/>
      <w:bookmarkEnd w:id="16"/>
      <w:r/>
      <w:bookmarkEnd w:id="19"/>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20" w:name="_Toc1525"/>
      <w:r/>
      <w:bookmarkStart w:id="21" w:name="_Toc19236"/>
      <w:r/>
      <w:bookmarkStart w:id="22" w:name="_Toc4302"/>
      <w:r/>
      <w:bookmarkStart w:id="23" w:name="_Toc13772"/>
      <w:r/>
      <w:bookmarkStart w:id="24" w:name="_Toc26983"/>
      <w:r/>
      <w:bookmarkStart w:id="25" w:name="_Toc22217"/>
      <w:r/>
      <w:bookmarkStart w:id="26" w:name="_Toc25166"/>
      <w:r/>
      <w:bookmarkStart w:id="27" w:name="_Toc14411"/>
      <w:r/>
      <w:bookmarkStart w:id="28" w:name="_Toc4050"/>
      <w:r/>
      <w:bookmarkStart w:id="29" w:name="_Toc11952"/>
      <w:r/>
      <w:bookmarkStart w:id="30" w:name="_Toc21213"/>
      <w:r>
        <w:rPr>
          <w:rFonts w:hint="eastAsia" w:ascii="宋体" w:hAnsi="宋体" w:eastAsia="宋体" w:cs="宋体"/>
          <w:b/>
          <w:bCs/>
          <w:color w:val="auto"/>
          <w:sz w:val="32"/>
          <w:szCs w:val="32"/>
          <w:highlight w:val="none"/>
        </w:rPr>
        <w:t xml:space="preserve">一、总则</w:t>
      </w:r>
      <w:bookmarkEnd w:id="20"/>
      <w:r/>
      <w:bookmarkEnd w:id="21"/>
      <w:r/>
      <w:bookmarkEnd w:id="22"/>
      <w:r/>
      <w:bookmarkEnd w:id="23"/>
      <w:r/>
      <w:bookmarkEnd w:id="24"/>
      <w:r/>
      <w:bookmarkEnd w:id="25"/>
      <w:r/>
      <w:bookmarkEnd w:id="26"/>
      <w:r/>
      <w:bookmarkEnd w:id="27"/>
      <w:r/>
      <w:bookmarkEnd w:id="28"/>
      <w:r/>
      <w:bookmarkEnd w:id="29"/>
      <w:r/>
      <w:bookmarkEnd w:id="30"/>
      <w:r/>
      <w:r/>
    </w:p>
    <w:p>
      <w:pPr>
        <w:ind w:firstLine="138"/>
        <w:keepLines/>
        <w:keepNex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8"/>
          <w:szCs w:val="28"/>
          <w:highlight w:val="none"/>
        </w:rPr>
        <w:t xml:space="preserve">1、采购方式及适用法律</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本次政府采购活动采取公开招标方式，本招标文件仅适用于招标公告中所述项目。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1.2本次招标及由此产生的合同受中华人民共和国有关的法律法规制约和保护。</w:t>
      </w:r>
      <w:r/>
    </w:p>
    <w:p>
      <w:pPr>
        <w:ind w:firstLine="138"/>
        <w:keepLines/>
        <w:keepNex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8"/>
          <w:szCs w:val="28"/>
          <w:highlight w:val="none"/>
        </w:rPr>
        <w:t xml:space="preserve">2、定义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2.1“采购人”系指购买本项目货物并接受相关服务的国家机关、事业单位、团体组织。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2.2“采购代理机构”系指依法接受采购人委托，从事货物和服务等政府采购业务的采购代理机构（以下简称“代理机构”）。本项目采购代理机构为涵熙（苏州）工程顾问有限公司。</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4"/>
          <w:highlight w:val="none"/>
        </w:rPr>
        <w:t xml:space="preserve">”系指响应招标、参加投标竞争的供应商。</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3、合格的投标人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满足招标公告中供应商的资格要求的规定，详见《第一章 投标邀请》中投标人资格要求。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满足本文件实质性要求和条件的规定。</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4、投标费用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4.1无论投标过程中的做法和结果如何，投标人应自行承担所有与准备和参加投标有关的全部费用。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4.2本次招标采购代理机构和采购人不收取标书工本费。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4.3本项目采购代理服务费由中标人支付，在代理机构发成交通知书时由中标人向采购代理机构支付中标服务费¥</w:t>
      </w:r>
      <w:r>
        <w:rPr>
          <w:rFonts w:hint="eastAsia" w:ascii="宋体" w:hAnsi="宋体" w:eastAsia="宋体" w:cs="宋体"/>
          <w:color w:val="auto"/>
          <w:sz w:val="24"/>
          <w:szCs w:val="24"/>
          <w:highlight w:val="none"/>
          <w:lang w:val="en-US" w:eastAsia="zh-CN"/>
        </w:rPr>
        <w:t xml:space="preserve">7016</w:t>
      </w:r>
      <w:r>
        <w:rPr>
          <w:rFonts w:hint="eastAsia" w:ascii="宋体" w:hAnsi="宋体" w:eastAsia="宋体" w:cs="宋体"/>
          <w:color w:val="auto"/>
          <w:sz w:val="24"/>
          <w:szCs w:val="24"/>
          <w:highlight w:val="none"/>
        </w:rPr>
        <w:t xml:space="preserve">.00元（人民币</w:t>
      </w:r>
      <w:r>
        <w:rPr>
          <w:rFonts w:hint="eastAsia" w:ascii="宋体" w:hAnsi="宋体" w:eastAsia="宋体" w:cs="宋体"/>
          <w:color w:val="auto"/>
          <w:sz w:val="24"/>
          <w:szCs w:val="24"/>
          <w:highlight w:val="none"/>
          <w:lang w:val="en-US" w:eastAsia="zh-CN"/>
        </w:rPr>
        <w:t xml:space="preserve">柒仟零壹拾陆</w:t>
      </w:r>
      <w:r>
        <w:rPr>
          <w:rFonts w:hint="eastAsia" w:ascii="宋体" w:hAnsi="宋体" w:eastAsia="宋体" w:cs="宋体"/>
          <w:color w:val="auto"/>
          <w:sz w:val="24"/>
          <w:szCs w:val="24"/>
          <w:highlight w:val="none"/>
        </w:rPr>
        <w:t xml:space="preserve">元整），一次性付清。</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5、招标文件的约束力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31" w:name="_Toc3850"/>
      <w:r/>
      <w:bookmarkStart w:id="32" w:name="_Toc24886"/>
      <w:r/>
      <w:bookmarkStart w:id="33" w:name="_Toc5354"/>
      <w:r/>
      <w:bookmarkStart w:id="34" w:name="_Toc5867"/>
      <w:r/>
      <w:bookmarkStart w:id="35" w:name="_Toc15419"/>
      <w:r/>
      <w:bookmarkStart w:id="36" w:name="_Toc11533"/>
      <w:r/>
      <w:bookmarkStart w:id="37" w:name="_Toc2267"/>
      <w:r/>
      <w:bookmarkStart w:id="38" w:name="_Toc13416"/>
      <w:r/>
      <w:bookmarkStart w:id="39" w:name="_Toc10408"/>
      <w:r/>
      <w:bookmarkStart w:id="40" w:name="_Toc11872"/>
      <w:r/>
      <w:bookmarkStart w:id="41" w:name="_Toc20302"/>
      <w:r>
        <w:rPr>
          <w:rFonts w:hint="eastAsia" w:ascii="宋体" w:hAnsi="宋体" w:eastAsia="宋体" w:cs="宋体"/>
          <w:b/>
          <w:bCs/>
          <w:color w:val="auto"/>
          <w:sz w:val="32"/>
          <w:szCs w:val="32"/>
          <w:highlight w:val="none"/>
        </w:rPr>
        <w:t xml:space="preserve">二、</w:t>
      </w:r>
      <w:bookmarkEnd w:id="31"/>
      <w:r/>
      <w:bookmarkEnd w:id="32"/>
      <w:r/>
      <w:bookmarkEnd w:id="33"/>
      <w:r/>
      <w:bookmarkEnd w:id="34"/>
      <w:r/>
      <w:bookmarkEnd w:id="35"/>
      <w:r/>
      <w:bookmarkEnd w:id="36"/>
      <w:r>
        <w:rPr>
          <w:rFonts w:hint="eastAsia" w:ascii="宋体" w:hAnsi="宋体" w:eastAsia="宋体" w:cs="宋体"/>
          <w:b/>
          <w:bCs/>
          <w:color w:val="auto"/>
          <w:sz w:val="32"/>
          <w:szCs w:val="32"/>
          <w:highlight w:val="none"/>
        </w:rPr>
        <w:t xml:space="preserve">招标文件</w:t>
      </w:r>
      <w:bookmarkEnd w:id="37"/>
      <w:r/>
      <w:bookmarkEnd w:id="38"/>
      <w:r/>
      <w:bookmarkEnd w:id="39"/>
      <w:r/>
      <w:bookmarkEnd w:id="40"/>
      <w:r/>
      <w:bookmarkEnd w:id="41"/>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6、招标文件构成</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请仔细检查招标文件是否齐全，如有缺漏请立即与代理机构联系解决。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招标文件及其更正事项如不是直接从指定媒体地址下载获得的，采购人或代理机构对招标文件及其补遗的真实性、完整性不承担任何责任。</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7、招标文件的澄清、修改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bookmarkStart w:id="42" w:name="_Toc18617"/>
      <w:r/>
      <w:bookmarkStart w:id="43" w:name="_Toc19823"/>
      <w:r/>
      <w:bookmarkStart w:id="44" w:name="_Toc20364"/>
      <w:r/>
      <w:bookmarkStart w:id="45" w:name="_Toc9687"/>
      <w:r/>
      <w:bookmarkStart w:id="46" w:name="_Toc25813"/>
      <w:r/>
      <w:bookmarkStart w:id="47" w:name="_Toc20675"/>
      <w:r>
        <w:rPr>
          <w:rFonts w:hint="eastAsia" w:ascii="宋体" w:hAnsi="宋体" w:eastAsia="宋体" w:cs="宋体"/>
          <w:color w:val="auto"/>
          <w:sz w:val="24"/>
          <w:szCs w:val="24"/>
          <w:highlight w:val="none"/>
        </w:rPr>
        <w:t xml:space="preserve">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代理机构有权按照法定的要求顺延投标截止时间和开标时间。</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有关澄清或者修改的内容将作为招标文件的组成部分，对所有投标人具有约束力。</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48" w:name="_Toc23549"/>
      <w:r/>
      <w:bookmarkStart w:id="49" w:name="_Toc8969"/>
      <w:r/>
      <w:bookmarkStart w:id="50" w:name="_Toc25697"/>
      <w:r/>
      <w:bookmarkStart w:id="51" w:name="_Toc8359"/>
      <w:r/>
      <w:bookmarkStart w:id="52" w:name="_Toc31086"/>
      <w:r>
        <w:rPr>
          <w:rFonts w:hint="eastAsia" w:ascii="宋体" w:hAnsi="宋体" w:eastAsia="宋体" w:cs="宋体"/>
          <w:b/>
          <w:bCs/>
          <w:color w:val="auto"/>
          <w:sz w:val="32"/>
          <w:szCs w:val="32"/>
          <w:highlight w:val="none"/>
        </w:rPr>
        <w:t xml:space="preserve">三、投标文件的编制</w:t>
      </w:r>
      <w:bookmarkEnd w:id="42"/>
      <w:r/>
      <w:bookmarkEnd w:id="43"/>
      <w:r/>
      <w:bookmarkEnd w:id="44"/>
      <w:r/>
      <w:bookmarkEnd w:id="45"/>
      <w:r/>
      <w:bookmarkEnd w:id="46"/>
      <w:r/>
      <w:bookmarkEnd w:id="47"/>
      <w:r/>
      <w:bookmarkEnd w:id="48"/>
      <w:r/>
      <w:bookmarkEnd w:id="49"/>
      <w:r/>
      <w:bookmarkEnd w:id="50"/>
      <w:r/>
      <w:bookmarkEnd w:id="51"/>
      <w:r/>
      <w:bookmarkEnd w:id="52"/>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8、投标文件的语言及度量衡单位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8.1投标人提交的投标文件以及投标人与代理机构就有关投标的所有来往通知、函件和文件均应使用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8.2除技术性能另有规定外，投标文件所使用的度量衡单位，均须采用国家法定计量单位。</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9、投标文件构成</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9.1投标人编写的投标文件应包括资格证明文件、开标一览表、报价明细表、投标函、技术（或商务）要求响应及偏离表、详细配置表、项目实施方案、其他证明文件等部分。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如标书制作工具中格式和内容与指定媒体发布的招标文件不一致，请以指定媒体发布的招标文件为准。</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10、证明投标人及投标标的符合招标文件规定的文件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投标人应按照招标文件要求提交证明文件，证明其及投标标的符合招标文件规定。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10.2招标文件对证明文件无明确形式要求的，证明文件可以以文字资料、图纸和数据等形式提交。</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11、投标函和开标一览表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11.1投标人应按照招标文件中提供的格式完整、正确填写投标函、开标一览表。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对于采用货币报价的项目，开标一览表中的投标总报价应与报价明细表中的投标总报价一致，如不一致不作为无效投标处理，但评标时按开标一览表中价格为准。</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12、报价明细表</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1"/>
          <w:highlight w:val="none"/>
        </w:rPr>
        <w:t xml:space="preserve">投标人应按照招标文件规定格式填报报价明细表。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1"/>
          <w:highlight w:val="none"/>
        </w:rPr>
        <w:t xml:space="preserve"> </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13、服务、商务要求响应及偏离表</w:t>
      </w:r>
      <w:r/>
    </w:p>
    <w:p>
      <w:pPr>
        <w:ind w:firstLine="480"/>
        <w:spacing w:line="500" w:lineRule="exact"/>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1"/>
          <w:highlight w:val="none"/>
          <w:lang w:val="zh-CN"/>
        </w:rPr>
        <w:t xml:space="preserve">投标人需对招标文件中的服务要求与商务要求逐项作出响应或偏离，并说明原因。</w:t>
      </w:r>
      <w:r/>
    </w:p>
    <w:p>
      <w:pPr>
        <w:ind w:firstLine="480"/>
        <w:spacing w:line="500" w:lineRule="exact"/>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1"/>
          <w:highlight w:val="none"/>
          <w:lang w:val="zh-CN"/>
        </w:rPr>
        <w:t xml:space="preserve"> </w:t>
      </w:r>
      <w:r>
        <w:rPr>
          <w:rFonts w:hint="eastAsia" w:ascii="宋体" w:hAnsi="宋体" w:eastAsia="宋体" w:cs="宋体"/>
          <w:color w:val="auto"/>
          <w:sz w:val="24"/>
          <w:highlight w:val="none"/>
          <w:lang w:val="zh-CN"/>
        </w:rPr>
        <w:t xml:space="preserve">投标人需按照招标文件要求，在投标文件中提供与服务要求和商务要求相关的证明材料。（如有）</w:t>
      </w:r>
      <w:r/>
    </w:p>
    <w:p>
      <w:pPr>
        <w:ind w:firstLine="141"/>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14、项目</w:t>
      </w:r>
      <w:r>
        <w:rPr>
          <w:rFonts w:hint="eastAsia" w:ascii="宋体" w:hAnsi="宋体" w:eastAsia="宋体" w:cs="宋体"/>
          <w:b/>
          <w:color w:val="auto"/>
          <w:sz w:val="28"/>
          <w:szCs w:val="28"/>
          <w:highlight w:val="none"/>
        </w:rPr>
        <w:t xml:space="preserve">实施</w:t>
      </w:r>
      <w:r>
        <w:rPr>
          <w:rFonts w:hint="eastAsia" w:ascii="宋体" w:hAnsi="宋体" w:eastAsia="宋体" w:cs="宋体"/>
          <w:b/>
          <w:color w:val="auto"/>
          <w:sz w:val="28"/>
          <w:szCs w:val="28"/>
          <w:highlight w:val="none"/>
        </w:rPr>
        <w:t xml:space="preserve">方案、项目组人员一览表、业绩情况</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bookmarkStart w:id="53" w:name="_Toc49090510"/>
      <w:r/>
      <w:bookmarkStart w:id="54" w:name="_Toc14577359"/>
      <w:r>
        <w:rPr>
          <w:rFonts w:hint="eastAsia" w:ascii="宋体" w:hAnsi="宋体" w:eastAsia="宋体" w:cs="宋体"/>
          <w:color w:val="auto"/>
          <w:sz w:val="24"/>
          <w:szCs w:val="24"/>
          <w:highlight w:val="none"/>
        </w:rPr>
        <w:t xml:space="preserve">投标人需根据招标文件要求提供有关项目</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z w:val="24"/>
          <w:szCs w:val="24"/>
          <w:highlight w:val="none"/>
        </w:rPr>
        <w:t xml:space="preserve">方案、项目组人员一览表，如项目背景理解与需求分析、技术方案、项目进度计划安排、质量管理及保证措施等。</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投标人需根据招标文件要求提供实施的类似项目业绩情况。</w:t>
      </w:r>
      <w:bookmarkEnd w:id="53"/>
      <w:r/>
      <w:bookmarkEnd w:id="54"/>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15、投标有效期</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15.1投标有效期为代理机构规定的提交投标文件截止之日后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。投标有效期比规定短的将被视为非实质性响应招标文件而予以拒绝。</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16、投标有效期的延长</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55" w:name="_Toc959"/>
      <w:r/>
      <w:bookmarkStart w:id="56" w:name="_Toc24414"/>
      <w:r/>
      <w:bookmarkStart w:id="57" w:name="_Toc20366"/>
      <w:r/>
      <w:bookmarkStart w:id="58" w:name="_Toc30450"/>
      <w:r/>
      <w:bookmarkStart w:id="59" w:name="_Toc13568"/>
      <w:r/>
      <w:bookmarkStart w:id="60" w:name="_Toc1373"/>
      <w:r/>
      <w:bookmarkStart w:id="61" w:name="_Toc5321"/>
      <w:r/>
      <w:bookmarkStart w:id="62" w:name="_Toc14870"/>
      <w:r/>
      <w:bookmarkStart w:id="63" w:name="_Toc8187"/>
      <w:r/>
      <w:bookmarkStart w:id="64" w:name="_Toc16363"/>
      <w:r/>
      <w:bookmarkStart w:id="65" w:name="_Toc25796"/>
      <w:r>
        <w:rPr>
          <w:rFonts w:hint="eastAsia" w:ascii="宋体" w:hAnsi="宋体" w:eastAsia="宋体" w:cs="宋体"/>
          <w:b/>
          <w:bCs/>
          <w:color w:val="auto"/>
          <w:sz w:val="32"/>
          <w:szCs w:val="32"/>
          <w:highlight w:val="none"/>
        </w:rPr>
        <w:t xml:space="preserve">四、投标文件的递交</w:t>
      </w:r>
      <w:bookmarkEnd w:id="55"/>
      <w:r/>
      <w:bookmarkEnd w:id="56"/>
      <w:r/>
      <w:bookmarkEnd w:id="57"/>
      <w:r/>
      <w:bookmarkEnd w:id="58"/>
      <w:r/>
      <w:bookmarkEnd w:id="59"/>
      <w:r/>
      <w:bookmarkEnd w:id="60"/>
      <w:r/>
      <w:bookmarkEnd w:id="61"/>
      <w:r/>
      <w:bookmarkEnd w:id="62"/>
      <w:r/>
      <w:bookmarkEnd w:id="63"/>
      <w:r/>
      <w:bookmarkEnd w:id="64"/>
      <w:r/>
      <w:bookmarkEnd w:id="65"/>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17、电子投标文件的递交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17.1投标人应当按照《苏采云系统投标人操作手册》规定，在提交投标文件截止时间前制作并上传电子投标文件。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18、提交投标文件截止时间</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18.1投标人上传电子投标文件的时间不得迟于招标公告中规定的提交投标文件截止时间。</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投标人应充分考虑到网络环境、网络带宽等风险因素，如因投标人自身原因造成的电子投标文件上传不成功的作无效响应处理。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18.2代理机构可以按照规定，通过修改招标文件酌情延长提交投标文件截止日期，在此情况下，投标人的所有权利和义务以及投标人受制的截止日期均应以延长后新的截止日期为准。</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19、投标文件的拒收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19.1代理机构拒绝接收在其规定的提交投标文件截止时间后上传的任何电子投标文件。</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20、投标文件的撤回和修改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投标人可在提交投标文件截止时间前，撤回其电子投标文件，具体操作方法见《</w:t>
      </w:r>
      <w:r>
        <w:rPr>
          <w:rFonts w:hint="eastAsia" w:ascii="宋体" w:hAnsi="宋体" w:eastAsia="宋体" w:cs="宋体"/>
          <w:color w:val="auto"/>
          <w:sz w:val="24"/>
          <w:szCs w:val="24"/>
          <w:highlight w:val="none"/>
        </w:rPr>
        <w:t xml:space="preserve">苏采云系统投标人操作手册</w:t>
      </w:r>
      <w:r>
        <w:rPr>
          <w:rFonts w:hint="eastAsia" w:ascii="宋体" w:hAnsi="宋体" w:eastAsia="宋体" w:cs="宋体"/>
          <w:color w:val="auto"/>
          <w:sz w:val="24"/>
          <w:szCs w:val="24"/>
          <w:highlight w:val="none"/>
        </w:rPr>
        <w:t xml:space="preserve">》。</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投标人可在提交投标文件截止时间前，对其电子投标文件进行修改，具体操作方法见《</w:t>
      </w:r>
      <w:r>
        <w:rPr>
          <w:rFonts w:hint="eastAsia" w:ascii="宋体" w:hAnsi="宋体" w:eastAsia="宋体" w:cs="宋体"/>
          <w:color w:val="auto"/>
          <w:sz w:val="24"/>
          <w:szCs w:val="24"/>
          <w:highlight w:val="none"/>
        </w:rPr>
        <w:t xml:space="preserve">苏采云系统投标人操作手册</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20.3在提交投标文件截止时间之后，投标人不得对其电子投标文件作任何修改。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20.4在提交投标文件截止时间至招标文件中规定的投标有效期满之间的这段时间内，投标人不得撤回其投标文件。</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66" w:name="_Toc1603"/>
      <w:r/>
      <w:bookmarkStart w:id="67" w:name="_Toc19354"/>
      <w:r/>
      <w:bookmarkStart w:id="68" w:name="_Toc7502"/>
      <w:r/>
      <w:bookmarkStart w:id="69" w:name="_Toc28189"/>
      <w:r/>
      <w:bookmarkStart w:id="70" w:name="_Toc8142"/>
      <w:r/>
      <w:bookmarkStart w:id="71" w:name="_Toc5428"/>
      <w:r/>
      <w:bookmarkStart w:id="72" w:name="_Toc15284"/>
      <w:r/>
      <w:bookmarkStart w:id="73" w:name="_Toc26408"/>
      <w:r/>
      <w:bookmarkStart w:id="74" w:name="_Toc32035"/>
      <w:r/>
      <w:bookmarkStart w:id="75" w:name="_Toc24553"/>
      <w:r/>
      <w:bookmarkStart w:id="76" w:name="_Toc29345"/>
      <w:r>
        <w:rPr>
          <w:rFonts w:hint="eastAsia" w:ascii="宋体" w:hAnsi="宋体" w:eastAsia="宋体" w:cs="宋体"/>
          <w:b/>
          <w:bCs/>
          <w:color w:val="auto"/>
          <w:sz w:val="32"/>
          <w:szCs w:val="32"/>
          <w:highlight w:val="none"/>
        </w:rPr>
        <w:t xml:space="preserve">五、开标与评审</w:t>
      </w:r>
      <w:bookmarkEnd w:id="66"/>
      <w:r/>
      <w:bookmarkEnd w:id="67"/>
      <w:r/>
      <w:bookmarkEnd w:id="68"/>
      <w:r/>
      <w:bookmarkEnd w:id="69"/>
      <w:r/>
      <w:bookmarkEnd w:id="70"/>
      <w:r/>
      <w:bookmarkEnd w:id="71"/>
      <w:r/>
      <w:bookmarkEnd w:id="72"/>
      <w:r/>
      <w:bookmarkEnd w:id="73"/>
      <w:r/>
      <w:bookmarkEnd w:id="74"/>
      <w:r/>
      <w:bookmarkEnd w:id="75"/>
      <w:r/>
      <w:bookmarkEnd w:id="76"/>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21、开标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21.1代理机构将在招标公告中规定的时间和地点组织公开开标。投标人应当按照《苏采云系统投标人操作手册》规定，参加开标活动和在苏采云系统规定的时间内对投标文件进行解密。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21.2开标仪式由代理机构组织。苏采云系统将自动对项目进行开标，并宣布各投标人名称。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21.3投标人在开标过程中涉及到的投标文件解密、开标结果确认等工作，应按照《苏采云系统投标人操作手册》规定执行。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22、评标委员会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开标后，代理机构将立即组织评标委员会（以下简称评委会）进行评标。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w:t>
      </w:r>
      <w:r>
        <w:rPr>
          <w:rFonts w:hint="eastAsia" w:ascii="宋体" w:hAnsi="宋体" w:eastAsia="宋体" w:cs="宋体"/>
          <w:color w:val="auto"/>
          <w:sz w:val="24"/>
          <w:szCs w:val="24"/>
          <w:highlight w:val="none"/>
        </w:rPr>
        <w:t xml:space="preserve">评委会由五人或以上单数的有关技术、经济等方面的专家和采购人代表组成</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22.3评委会独立工作，负责评审所有投标文件并确定中标侯选人。</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23、评审过程的保密与公正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23.1凡是与审查、澄清、评价和比较投标的有关资料以及授标建议等，采购人、评委、代理机构均不得向投标人或与评标无关的其他人员透露。</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代理机构和评委会不向未中标的投标人解释未中标原因，也不公布评标过程中的相关细节。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24、投标文件的澄清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评标期间，评委会对投标文件中含义不明确、同类问题表述不一致或者有明显文字和计算错误的内容，有权要求投标人作出必要的澄清、说明或者补正。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接到评委会澄清、说明和补正要求的投标人如未按规定做出澄清、说明和补正，其风险由投标人自行承担。</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25、对投标文件的审查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25.1投标文件审查分为资格审查和符合性审查。</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w:t>
      </w:r>
      <w:r>
        <w:rPr>
          <w:rFonts w:hint="eastAsia" w:ascii="宋体" w:hAnsi="宋体" w:eastAsia="宋体" w:cs="宋体"/>
          <w:bCs/>
          <w:color w:val="auto"/>
          <w:sz w:val="24"/>
          <w:szCs w:val="21"/>
          <w:highlight w:val="none"/>
        </w:rPr>
        <w:t xml:space="preserve">资格审查：依据法律法规和招标文件的规定，由采购人对投标文件中的资格证明文件进行审查。资格审查的结论，采购人以书面形式向评委会进行反馈。</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采购人在进行资格审查的同时，将在信用中国 （ https://www.creditchina.gov.cn/ ） 对投标人的诚信记录进行查询，以确定投标人是否具备投标资格,查询结果留存并归档。</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25.1.3未通过资格审查或符合性审查的投标人，评委会将在苏采云系统中告知未通过资格审查或符合性审查的原因，评审结束后，评委会将不再告知未通过资格审查或符合性审查的原因。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25.2在详细评审之前，评委会将首先审查每份投标文件是否实质性响应了招标文件的要求。实质性响应的投标文件应该是与招标文件要求的条款、条件和规格相符，没有重大偏离或保留。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由评委会按照少数服从多数的原则认定。评委会决定投标文件的响应性只根据投标文件本身的内容，而不寻求外部的证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25.4评委会将对确定为实质性响应的投标文件进行进一步审核，看其是否有计算上或累加上的算术错误，修正错误的原则如下：</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25.5评委会将按上述修正错误的方法调整投标文件中的报价价格，并通过苏采云系统告知投标人，调整后的价格应对投标人具有约束力。如果投标人不接受修正后的价格，则其投标将被拒绝。</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25.7投标人在开、评标全过程中应保持通讯畅通，及时登录苏采云系统查阅、答复相关信息，并安排专人与代理机构及评委会联系。</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26、无效投标条款和废标条款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w:t>
      </w:r>
      <w:r>
        <w:rPr>
          <w:rFonts w:hint="eastAsia" w:ascii="宋体" w:hAnsi="宋体" w:eastAsia="宋体" w:cs="宋体"/>
          <w:color w:val="auto"/>
          <w:sz w:val="24"/>
          <w:highlight w:val="none"/>
        </w:rPr>
        <w:t xml:space="preserve">或最高限价的</w:t>
      </w:r>
      <w:r>
        <w:rPr>
          <w:rFonts w:hint="eastAsia" w:ascii="宋体" w:hAnsi="宋体" w:eastAsia="宋体" w:cs="宋体"/>
          <w:color w:val="auto"/>
          <w:sz w:val="24"/>
          <w:szCs w:val="24"/>
          <w:highlight w:val="none"/>
        </w:rPr>
        <w:t xml:space="preserve">。</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b/>
          <w:bCs/>
          <w:color w:val="auto"/>
          <w:sz w:val="24"/>
          <w:szCs w:val="24"/>
          <w:highlight w:val="none"/>
        </w:rPr>
        <w:t xml:space="preserve">本招标文件中标“★”的相关要求为实质性要求和条件）</w:t>
      </w:r>
      <w:r>
        <w:rPr>
          <w:rFonts w:hint="eastAsia" w:ascii="宋体" w:hAnsi="宋体" w:eastAsia="宋体" w:cs="宋体"/>
          <w:color w:val="auto"/>
          <w:sz w:val="24"/>
          <w:szCs w:val="24"/>
          <w:highlight w:val="none"/>
        </w:rPr>
        <w:t xml:space="preserve">。</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要求其在合理的时间内提供说明，必要时提交相关证明材料；投标人不能证明其报价合理性的，评标委员会应当将其作为无效投标处理。</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26.1.12投标文件未按照招标文件要求加盖CA电子公章的。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w:t>
      </w:r>
      <w:r>
        <w:rPr>
          <w:rFonts w:hint="eastAsia" w:ascii="宋体" w:hAnsi="宋体" w:eastAsia="宋体" w:cs="宋体"/>
          <w:bCs/>
          <w:color w:val="auto"/>
          <w:sz w:val="24"/>
          <w:szCs w:val="21"/>
          <w:highlight w:val="none"/>
        </w:rPr>
        <w:t xml:space="preserve">其他法律、法规及本招标文件规定的属无效投标的情形。</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720"/>
        <w:spacing w:line="44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26.2.1</w:t>
      </w:r>
      <w:r>
        <w:rPr>
          <w:rFonts w:hint="eastAsia" w:ascii="宋体" w:hAnsi="宋体" w:eastAsia="宋体" w:cs="宋体"/>
          <w:bCs/>
          <w:color w:val="auto"/>
          <w:sz w:val="24"/>
          <w:szCs w:val="21"/>
          <w:highlight w:val="none"/>
        </w:rPr>
        <w:t xml:space="preserve">符合专业条件的投标人或者对招标文件作实质响应的投标人不足三家的。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26.2.6</w:t>
      </w:r>
      <w:r>
        <w:rPr>
          <w:rFonts w:hint="eastAsia" w:ascii="宋体" w:hAnsi="宋体" w:eastAsia="宋体" w:cs="宋体"/>
          <w:color w:val="auto"/>
          <w:sz w:val="24"/>
          <w:highlight w:val="none"/>
        </w:rPr>
        <w:t xml:space="preserve">投标文件接受截止时间结束后参加投标的投标人不足</w:t>
      </w:r>
      <w:r>
        <w:rPr>
          <w:rFonts w:hint="eastAsia" w:ascii="宋体" w:hAnsi="宋体" w:eastAsia="宋体" w:cs="宋体"/>
          <w:color w:val="auto"/>
          <w:sz w:val="24"/>
          <w:szCs w:val="24"/>
          <w:highlight w:val="none"/>
        </w:rPr>
        <w:t xml:space="preserve">三家的处理：</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26.2.7如出现投标截止时间结束后参加投标的投标人或者在评标期间对招标文件做出实质响应的投标人不足三家情况，按政府采购相关规定执行。</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77" w:name="_Toc13187"/>
      <w:r/>
      <w:bookmarkStart w:id="78" w:name="_Toc17432"/>
      <w:r/>
      <w:bookmarkStart w:id="79" w:name="_Toc9362"/>
      <w:r/>
      <w:bookmarkStart w:id="80" w:name="_Toc15817"/>
      <w:r/>
      <w:bookmarkStart w:id="81" w:name="_Toc48"/>
      <w:r/>
      <w:bookmarkStart w:id="82" w:name="_Toc19188"/>
      <w:r/>
      <w:bookmarkStart w:id="83" w:name="_Toc207"/>
      <w:r/>
      <w:bookmarkStart w:id="84" w:name="_Toc6218"/>
      <w:r/>
      <w:bookmarkStart w:id="85" w:name="_Toc881"/>
      <w:r/>
      <w:bookmarkStart w:id="86" w:name="_Toc30141"/>
      <w:r/>
      <w:bookmarkStart w:id="87" w:name="_Toc3301"/>
      <w:r>
        <w:rPr>
          <w:rFonts w:hint="eastAsia" w:ascii="宋体" w:hAnsi="宋体" w:eastAsia="宋体" w:cs="宋体"/>
          <w:b/>
          <w:bCs/>
          <w:color w:val="auto"/>
          <w:sz w:val="32"/>
          <w:szCs w:val="32"/>
          <w:highlight w:val="none"/>
        </w:rPr>
        <w:t xml:space="preserve">六、</w:t>
      </w:r>
      <w:bookmarkEnd w:id="77"/>
      <w:r/>
      <w:bookmarkEnd w:id="78"/>
      <w:r/>
      <w:bookmarkEnd w:id="79"/>
      <w:r/>
      <w:bookmarkEnd w:id="80"/>
      <w:r/>
      <w:bookmarkEnd w:id="81"/>
      <w:r/>
      <w:bookmarkEnd w:id="82"/>
      <w:r>
        <w:rPr>
          <w:rFonts w:hint="eastAsia" w:ascii="宋体" w:hAnsi="宋体" w:eastAsia="宋体" w:cs="宋体"/>
          <w:b/>
          <w:bCs/>
          <w:color w:val="auto"/>
          <w:sz w:val="32"/>
          <w:szCs w:val="32"/>
          <w:highlight w:val="none"/>
        </w:rPr>
        <w:t xml:space="preserve">定标</w:t>
      </w:r>
      <w:bookmarkEnd w:id="83"/>
      <w:r/>
      <w:bookmarkEnd w:id="84"/>
      <w:r/>
      <w:bookmarkEnd w:id="85"/>
      <w:r/>
      <w:bookmarkEnd w:id="86"/>
      <w:r/>
      <w:bookmarkEnd w:id="87"/>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27、确定中标单位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代理机构将在指定媒体上发布中标公告，公告期限为1个工作日。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若有充分证据证明，中标人出现下列情况之一的，一经查实，将被取消中标资格：</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27.4.2向采购人、代理机构行贿或者提供其他不正当利益的。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27.4.4与采购人或者其他投标人恶意串通的。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27.4.5采取不正当手段诋毁、排挤其他投标人的。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28、质疑处理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提出质疑的投标人应当是参与所质疑项目采购活动的投标人，潜在投标人已依法获取其可质疑的招标文件的，可以对该文件提出质疑。请将</w:t>
      </w:r>
      <w:bookmarkStart w:id="88" w:name="_Hlk98510751"/>
      <w:r>
        <w:rPr>
          <w:rFonts w:hint="eastAsia" w:ascii="宋体" w:hAnsi="宋体" w:eastAsia="宋体" w:cs="宋体"/>
          <w:color w:val="auto"/>
          <w:sz w:val="24"/>
          <w:szCs w:val="24"/>
          <w:highlight w:val="none"/>
        </w:rPr>
        <w:t xml:space="preserve">获取采购文件后打印留存的《投标供应商确认函》等</w:t>
      </w:r>
      <w:bookmarkEnd w:id="88"/>
      <w:r>
        <w:rPr>
          <w:rFonts w:hint="eastAsia" w:ascii="宋体" w:hAnsi="宋体" w:eastAsia="宋体" w:cs="宋体"/>
          <w:color w:val="auto"/>
          <w:sz w:val="24"/>
          <w:szCs w:val="24"/>
          <w:highlight w:val="none"/>
        </w:rPr>
        <w:t xml:space="preserve">必要的证明材料与质疑函一起递交，否则不予受理。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采购方式、招标文件中采购需求、投标人资格条件、评标方法和评标标准、合同文本及资格审查结果的询问、质疑请向采购人提出，由采购人负责答复。投标人对其他事项的询问、质疑请向代理机构提出，由代理机构负责答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投标人认为招标文件、采购过程和采购结果使自己的权益受到损害的，可以在知道或应知其权益受到损害之日起七个工作日内，以书面形式向采购人或代理机构提出质疑。上述应知其权益受到损害之日，是指：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（1）对可以质疑的招标文件提出质疑的，为收到招标文件之日或者招标文件公告期限届满之日；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（3）对中标或者中标结果提出质疑的，为中标或者中标结果公告期限届满之日。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投标人应当在法定质疑期内一次性提出针对同一采购程序环节的质疑。投标人如在法定期限内对同一采购程序环节提出多次质疑的，代理机构、采购人将只对投标人第一次质疑作出答复。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代理机构及采购人只接收以纸质原件形式送达（当场送达或邮寄方式）的质疑。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代理机构质疑接收部门为：涵熙（苏州）工程顾问有限公司，联系地址：常熟市山茶花路10号。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质疑接收人及联系方式见招标文件“第一章 投标邀请”。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（4）未参加投标活动的投标人或在投标活动中自身权益未受到损害的投标人所提出的质疑。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（5）如投标人组成联合体参加投标，联合体中任何一方或多方未按要求签字或盖章、加盖公章的质疑。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29、中标通知书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89" w:name="_Toc8381"/>
      <w:r/>
      <w:bookmarkStart w:id="90" w:name="_Toc12475"/>
      <w:r/>
      <w:bookmarkStart w:id="91" w:name="_Toc1951"/>
      <w:r/>
      <w:bookmarkStart w:id="92" w:name="_Toc21840"/>
      <w:r/>
      <w:bookmarkStart w:id="93" w:name="_Toc4987"/>
      <w:r/>
      <w:bookmarkStart w:id="94" w:name="_Toc22686"/>
      <w:r/>
      <w:bookmarkStart w:id="95" w:name="_Toc24233"/>
      <w:r/>
      <w:bookmarkStart w:id="96" w:name="_Toc11451"/>
      <w:r/>
      <w:bookmarkStart w:id="97" w:name="_Toc31645"/>
      <w:r/>
      <w:bookmarkStart w:id="98" w:name="_Toc17654"/>
      <w:r/>
      <w:bookmarkStart w:id="99" w:name="_Toc31598"/>
      <w:r>
        <w:rPr>
          <w:rFonts w:hint="eastAsia" w:ascii="宋体" w:hAnsi="宋体" w:eastAsia="宋体" w:cs="宋体"/>
          <w:b/>
          <w:bCs/>
          <w:color w:val="auto"/>
          <w:sz w:val="32"/>
          <w:szCs w:val="32"/>
          <w:highlight w:val="none"/>
        </w:rPr>
        <w:t xml:space="preserve">七、授予合同</w:t>
      </w:r>
      <w:bookmarkEnd w:id="89"/>
      <w:r/>
      <w:bookmarkEnd w:id="90"/>
      <w:r/>
      <w:bookmarkEnd w:id="91"/>
      <w:r/>
      <w:bookmarkEnd w:id="92"/>
      <w:r/>
      <w:bookmarkEnd w:id="93"/>
      <w:r/>
      <w:bookmarkEnd w:id="94"/>
      <w:r/>
      <w:bookmarkEnd w:id="95"/>
      <w:r/>
      <w:bookmarkEnd w:id="96"/>
      <w:r/>
      <w:bookmarkEnd w:id="97"/>
      <w:r/>
      <w:bookmarkEnd w:id="98"/>
      <w:r/>
      <w:bookmarkEnd w:id="99"/>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30、签订合同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30.2招标文件、中标人的投标文件及投标过程中有关澄清、承诺文件均应作为合同附件。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31、标的物的追加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32、政府采购履约资金扶持政策</w:t>
      </w:r>
      <w:r/>
    </w:p>
    <w:p>
      <w:pPr>
        <w:ind w:firstLine="480"/>
        <w:spacing w:line="440" w:lineRule="exact"/>
        <w:tabs>
          <w:tab w:val="left" w:pos="2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中标人可凭政府采购合同办理融资贷款，详情请见苏州市政府采购网“政府采购合同信用融资”专栏。</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pStyle w:val="1008"/>
        <w:rPr>
          <w:rFonts w:hint="eastAsia" w:ascii="宋体" w:hAnsi="宋体" w:eastAsia="宋体" w:cs="宋体"/>
          <w:color w:val="auto"/>
          <w:highlight w:val="none"/>
        </w:rPr>
      </w:pPr>
      <w:r/>
      <w:bookmarkStart w:id="100" w:name="_Toc9908"/>
      <w:r/>
      <w:bookmarkStart w:id="101" w:name="_Toc13834"/>
      <w:r/>
      <w:bookmarkStart w:id="102" w:name="_Toc158691774"/>
      <w:r/>
      <w:bookmarkStart w:id="103" w:name="_Toc315868058"/>
      <w:r/>
      <w:bookmarkStart w:id="104" w:name="_Toc315875321"/>
      <w:r>
        <w:rPr>
          <w:rFonts w:hint="eastAsia" w:ascii="宋体" w:hAnsi="宋体" w:eastAsia="宋体" w:cs="宋体"/>
          <w:color w:val="auto"/>
          <w:highlight w:val="none"/>
        </w:rPr>
        <w:t xml:space="preserve">第三章 合同</w:t>
      </w:r>
      <w:bookmarkEnd w:id="100"/>
      <w:r>
        <w:rPr>
          <w:rFonts w:hint="eastAsia" w:ascii="宋体" w:hAnsi="宋体" w:eastAsia="宋体" w:cs="宋体"/>
          <w:color w:val="auto"/>
          <w:highlight w:val="none"/>
        </w:rPr>
        <w:t xml:space="preserve">文本</w:t>
      </w:r>
      <w:bookmarkEnd w:id="101"/>
      <w:r/>
      <w:r/>
    </w:p>
    <w:p>
      <w:pPr>
        <w:ind w:right="105" w:firstLine="6720"/>
        <w:spacing w:before="305"/>
        <w:rPr>
          <w:rFonts w:hint="eastAsia" w:ascii="宋体" w:hAnsi="宋体" w:eastAsia="宋体" w:cs="宋体"/>
          <w:b/>
          <w:bCs/>
          <w:color w:val="auto"/>
          <w:sz w:val="72"/>
          <w:szCs w:val="72"/>
          <w:highlight w:val="none"/>
        </w:rPr>
      </w:pPr>
      <w:r>
        <w:rPr>
          <w:rFonts w:hint="eastAsia" w:ascii="宋体" w:hAnsi="宋体" w:eastAsia="宋体" w:cs="宋体"/>
          <w:color w:val="auto"/>
          <w:sz w:val="24"/>
          <w:szCs w:val="24"/>
          <w:highlight w:val="none"/>
        </w:rPr>
        <w:t xml:space="preserve">合同编号：</w:t>
      </w:r>
      <w:r/>
    </w:p>
    <w:p>
      <w:pPr>
        <w:ind w:right="105" w:firstLine="2530"/>
        <w:spacing w:before="305"/>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right="105" w:firstLine="2530"/>
        <w:spacing w:before="305"/>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政府采购合同</w:t>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firstLine="200"/>
        <w:jc w:val="center"/>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第一部分 合同书</w:t>
      </w:r>
      <w:r/>
    </w:p>
    <w:p>
      <w:pPr>
        <w:spacing w:before="120" w:after="160" w:line="22"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before="120" w:after="160" w:line="22" w:lineRule="atLeast"/>
        <w:widowControl/>
        <w:rPr>
          <w:rFonts w:hint="eastAsia" w:ascii="宋体" w:hAnsi="宋体" w:eastAsia="宋体" w:cs="宋体"/>
          <w:b/>
          <w:bCs/>
          <w:color w:val="auto"/>
          <w:sz w:val="36"/>
          <w:szCs w:val="36"/>
          <w:highlight w:val="none"/>
          <w:u w:val="singl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eastAsia="宋体" w:cs="宋体"/>
          <w:color w:val="auto"/>
          <w:sz w:val="36"/>
          <w:szCs w:val="36"/>
          <w:highlight w:val="none"/>
          <w:u w:val="single"/>
          <w:lang w:eastAsia="zh-CN"/>
        </w:rPr>
        <w:t xml:space="preserve">2026-2027年度成片开发及土地报批服务</w:t>
      </w:r>
      <w:r/>
    </w:p>
    <w:p>
      <w:pPr>
        <w:ind w:firstLine="1807"/>
        <w:spacing w:before="120" w:after="160" w:line="22" w:lineRule="atLeast"/>
        <w:widowControl/>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项目编号：</w:t>
      </w:r>
      <w:r>
        <w:rPr>
          <w:rFonts w:hint="eastAsia" w:ascii="宋体" w:hAnsi="宋体" w:eastAsia="宋体" w:cs="宋体"/>
          <w:color w:val="auto"/>
          <w:sz w:val="36"/>
          <w:szCs w:val="36"/>
          <w:highlight w:val="none"/>
          <w:u w:val="single"/>
          <w:lang w:eastAsia="zh-CN"/>
        </w:rPr>
        <w:t xml:space="preserve">JSZC-320581-HXGW-G2025-0074</w:t>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left="960" w:firstLine="84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甲方（采  购  人）：</w:t>
      </w:r>
      <w:r>
        <w:rPr>
          <w:rFonts w:hint="eastAsia" w:ascii="宋体" w:hAnsi="宋体" w:eastAsia="宋体" w:cs="宋体"/>
          <w:bCs/>
          <w:color w:val="auto"/>
          <w:sz w:val="24"/>
          <w:szCs w:val="24"/>
          <w:highlight w:val="none"/>
          <w:u w:val="single"/>
        </w:rPr>
        <w:t xml:space="preserve">                                   </w:t>
      </w:r>
      <w:r/>
    </w:p>
    <w:p>
      <w:pPr>
        <w:ind w:left="960" w:firstLine="84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乙方（中  标  人）：</w:t>
      </w:r>
      <w:r>
        <w:rPr>
          <w:rFonts w:hint="eastAsia" w:ascii="宋体" w:hAnsi="宋体" w:eastAsia="宋体" w:cs="宋体"/>
          <w:bCs/>
          <w:color w:val="auto"/>
          <w:sz w:val="24"/>
          <w:szCs w:val="24"/>
          <w:highlight w:val="none"/>
          <w:u w:val="single"/>
        </w:rPr>
        <w:t xml:space="preserve">                                   </w:t>
      </w:r>
      <w:r/>
    </w:p>
    <w:p>
      <w:pPr>
        <w:ind w:left="960" w:firstLine="84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信用融资回款账户：</w:t>
      </w:r>
      <w:r>
        <w:rPr>
          <w:rFonts w:hint="eastAsia" w:ascii="宋体" w:hAnsi="宋体" w:eastAsia="宋体" w:cs="宋体"/>
          <w:bCs/>
          <w:color w:val="auto"/>
          <w:sz w:val="24"/>
          <w:szCs w:val="24"/>
          <w:highlight w:val="none"/>
          <w:u w:val="single"/>
        </w:rPr>
        <w:t xml:space="preserve">                                   </w:t>
      </w:r>
      <w:r/>
    </w:p>
    <w:p>
      <w:pPr>
        <w:ind w:left="960" w:firstLine="840"/>
        <w:spacing w:before="120" w:line="22"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rPr>
          <w:rFonts w:hint="eastAsia" w:ascii="宋体" w:hAnsi="宋体" w:eastAsia="宋体" w:cs="宋体"/>
          <w:bCs/>
          <w:color w:val="auto"/>
          <w:sz w:val="24"/>
          <w:szCs w:val="24"/>
          <w:highlight w:val="none"/>
          <w:u w:val="single"/>
        </w:rPr>
        <w:t xml:space="preserve">                                   </w:t>
      </w:r>
      <w:r/>
    </w:p>
    <w:p>
      <w:pPr>
        <w:ind w:firstLine="180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签 订 地：</w:t>
      </w:r>
      <w:r>
        <w:rPr>
          <w:rFonts w:hint="eastAsia" w:ascii="宋体" w:hAnsi="宋体" w:eastAsia="宋体" w:cs="宋体"/>
          <w:bCs/>
          <w:color w:val="auto"/>
          <w:sz w:val="24"/>
          <w:szCs w:val="24"/>
          <w:highlight w:val="none"/>
          <w:u w:val="single"/>
        </w:rPr>
        <w:t xml:space="preserve">            常熟市                </w:t>
      </w:r>
      <w:r/>
    </w:p>
    <w:p>
      <w:pPr>
        <w:ind w:firstLine="180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440" w:lineRule="exact"/>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zh-CN"/>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br w:type="page" w:clear="all"/>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公开招标</w:t>
      </w:r>
      <w:r>
        <w:rPr>
          <w:rFonts w:hint="eastAsia" w:ascii="宋体" w:hAnsi="宋体" w:eastAsia="宋体" w:cs="宋体"/>
          <w:color w:val="auto"/>
          <w:sz w:val="24"/>
          <w:szCs w:val="24"/>
          <w:highlight w:val="none"/>
        </w:rPr>
        <w:t xml:space="preserve"> 对</w:t>
      </w:r>
      <w:r>
        <w:rPr>
          <w:rFonts w:hint="eastAsia" w:ascii="宋体" w:hAnsi="宋体" w:eastAsia="宋体" w:cs="宋体"/>
          <w:color w:val="auto"/>
          <w:sz w:val="24"/>
          <w:szCs w:val="24"/>
          <w:highlight w:val="none"/>
          <w:u w:val="single"/>
        </w:rPr>
        <w:t xml:space="preserve">   （同前页项目名称）   </w:t>
      </w:r>
      <w:r>
        <w:rPr>
          <w:rFonts w:hint="eastAsia" w:ascii="宋体" w:hAnsi="宋体" w:eastAsia="宋体" w:cs="宋体"/>
          <w:color w:val="auto"/>
          <w:sz w:val="24"/>
          <w:szCs w:val="24"/>
          <w:highlight w:val="none"/>
        </w:rPr>
        <w:t xml:space="preserve">项目进行了采购。经</w:t>
      </w:r>
      <w:r>
        <w:rPr>
          <w:rFonts w:hint="eastAsia" w:ascii="宋体" w:hAnsi="宋体" w:eastAsia="宋体" w:cs="宋体"/>
          <w:color w:val="auto"/>
          <w:sz w:val="24"/>
          <w:szCs w:val="24"/>
          <w:highlight w:val="none"/>
          <w:u w:val="single"/>
        </w:rPr>
        <w:t xml:space="preserve">评标委员会</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rPr>
        <w:t xml:space="preserve">为该项目中标人。现于中标通知书发出之日起三十日内，按照采购文件确定的事项签订本合同。</w:t>
      </w:r>
      <w:r/>
    </w:p>
    <w:p>
      <w:pPr>
        <w:ind w:firstLine="480"/>
        <w:spacing w:line="440" w:lineRule="exact"/>
        <w:rPr>
          <w:rFonts w:hint="eastAsia" w:ascii="宋体" w:hAnsi="宋体" w:eastAsia="宋体" w:cs="宋体"/>
          <w:color w:val="auto"/>
          <w:sz w:val="24"/>
          <w:szCs w:val="24"/>
          <w:highlight w:val="none"/>
        </w:rPr>
      </w:pPr>
      <w:r/>
      <w:bookmarkStart w:id="105" w:name="_Hlk63008672"/>
      <w:r/>
      <w:bookmarkStart w:id="106" w:name="_Hlk63008690"/>
      <w:r>
        <w:rPr>
          <w:rFonts w:hint="eastAsia" w:ascii="宋体" w:hAnsi="宋体" w:eastAsia="宋体" w:cs="宋体"/>
          <w:color w:val="auto"/>
          <w:sz w:val="24"/>
          <w:szCs w:val="24"/>
          <w:highlight w:val="none"/>
        </w:rPr>
        <w:t xml:space="preserve">根据《中华人民共和国政府采购法》及其实施条例、《中华人民共和国民法典》</w:t>
      </w:r>
      <w:bookmarkEnd w:id="105"/>
      <w:r>
        <w:rPr>
          <w:rFonts w:hint="eastAsia" w:ascii="宋体" w:hAnsi="宋体" w:eastAsia="宋体" w:cs="宋体"/>
          <w:color w:val="auto"/>
          <w:sz w:val="24"/>
          <w:szCs w:val="24"/>
          <w:highlight w:val="none"/>
        </w:rPr>
        <w:t xml:space="preserve">等法律法规的规定</w:t>
      </w:r>
      <w:bookmarkEnd w:id="106"/>
      <w:r>
        <w:rPr>
          <w:rFonts w:hint="eastAsia" w:ascii="宋体" w:hAnsi="宋体" w:eastAsia="宋体" w:cs="宋体"/>
          <w:color w:val="auto"/>
          <w:sz w:val="24"/>
          <w:szCs w:val="24"/>
          <w:highlight w:val="none"/>
          <w:lang w:val="zh-CN"/>
        </w:rPr>
        <w:t xml:space="preserve">，按照平等、自愿、公平和诚实信用的原则，经</w:t>
      </w:r>
      <w:r>
        <w:rPr>
          <w:rFonts w:hint="eastAsia" w:ascii="宋体" w:hAnsi="宋体" w:eastAsia="宋体" w:cs="宋体"/>
          <w:color w:val="auto"/>
          <w:sz w:val="24"/>
          <w:szCs w:val="24"/>
          <w:highlight w:val="none"/>
          <w:u w:val="single"/>
          <w:lang w:eastAsia="zh-CN"/>
        </w:rPr>
        <w:t xml:space="preserve">常熟高新技术产业开发区管理委员会</w:t>
      </w:r>
      <w:r>
        <w:rPr>
          <w:rFonts w:hint="eastAsia" w:ascii="宋体" w:hAnsi="宋体" w:eastAsia="宋体" w:cs="宋体"/>
          <w:color w:val="auto"/>
          <w:sz w:val="24"/>
          <w:szCs w:val="24"/>
          <w:highlight w:val="none"/>
          <w:lang w:val="zh-CN"/>
        </w:rPr>
        <w:t xml:space="preserve">(以下简称：甲方)和</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lang w:val="zh-CN"/>
        </w:rPr>
        <w:t xml:space="preserve">(以下简称：乙方)协商一致，约定以下合同</w:t>
      </w:r>
      <w:r>
        <w:rPr>
          <w:rFonts w:hint="eastAsia" w:ascii="宋体" w:hAnsi="宋体" w:eastAsia="宋体" w:cs="宋体"/>
          <w:color w:val="auto"/>
          <w:sz w:val="24"/>
          <w:szCs w:val="24"/>
          <w:highlight w:val="none"/>
        </w:rPr>
        <w:t xml:space="preserve">条款，以兹共同遵守、全面履行。</w:t>
      </w:r>
      <w:r/>
    </w:p>
    <w:p>
      <w:pPr>
        <w:spacing w:line="440" w:lineRule="exact"/>
        <w:rPr>
          <w:rFonts w:hint="eastAsia" w:ascii="宋体" w:hAnsi="宋体" w:eastAsia="宋体" w:cs="宋体"/>
          <w:color w:val="auto"/>
          <w:sz w:val="24"/>
          <w:szCs w:val="24"/>
          <w:highlight w:val="none"/>
        </w:rPr>
      </w:pPr>
      <w:r/>
      <w:bookmarkStart w:id="107" w:name="_Toc22967"/>
      <w:r/>
      <w:bookmarkStart w:id="108" w:name="_Toc20421"/>
      <w:r/>
      <w:bookmarkStart w:id="109" w:name="_Toc15367"/>
      <w:r/>
      <w:bookmarkStart w:id="110" w:name="_Toc28855"/>
      <w:r/>
      <w:bookmarkStart w:id="111" w:name="_Toc19273"/>
      <w:r>
        <w:rPr>
          <w:rFonts w:hint="eastAsia" w:ascii="宋体" w:hAnsi="宋体" w:eastAsia="宋体" w:cs="宋体"/>
          <w:b/>
          <w:color w:val="auto"/>
          <w:sz w:val="24"/>
          <w:szCs w:val="24"/>
          <w:highlight w:val="none"/>
        </w:rPr>
        <w:t xml:space="preserve">1.1 合同组成部分</w:t>
      </w:r>
      <w:bookmarkEnd w:id="107"/>
      <w:r/>
      <w:bookmarkEnd w:id="108"/>
      <w:r/>
      <w:bookmarkEnd w:id="109"/>
      <w:r/>
      <w:bookmarkEnd w:id="110"/>
      <w:r/>
      <w:bookmarkEnd w:id="111"/>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本合同及其补充合同、变更协议。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中标通知书。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投标文件（含澄清或者说明文件）。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招标文件（含澄清或者修改文件）。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其他相关采购文件。</w:t>
      </w:r>
      <w:r/>
    </w:p>
    <w:p>
      <w:pPr>
        <w:spacing w:line="440" w:lineRule="exact"/>
        <w:rPr>
          <w:rFonts w:hint="eastAsia" w:ascii="宋体" w:hAnsi="宋体" w:eastAsia="宋体" w:cs="宋体"/>
          <w:b/>
          <w:color w:val="auto"/>
          <w:sz w:val="24"/>
          <w:szCs w:val="24"/>
          <w:highlight w:val="none"/>
        </w:rPr>
      </w:pPr>
      <w:r/>
      <w:bookmarkStart w:id="112" w:name="_Toc6773"/>
      <w:r/>
      <w:bookmarkStart w:id="113" w:name="_Toc6311"/>
      <w:r/>
      <w:bookmarkStart w:id="114" w:name="_Toc18585"/>
      <w:r/>
      <w:bookmarkStart w:id="115" w:name="_Toc22185"/>
      <w:r/>
      <w:bookmarkStart w:id="116" w:name="_Toc2918"/>
      <w:r>
        <w:rPr>
          <w:rFonts w:hint="eastAsia" w:ascii="宋体" w:hAnsi="宋体" w:eastAsia="宋体" w:cs="宋体"/>
          <w:b/>
          <w:color w:val="auto"/>
          <w:sz w:val="24"/>
          <w:szCs w:val="24"/>
          <w:highlight w:val="none"/>
        </w:rPr>
        <w:t xml:space="preserve">1.2 标的</w:t>
      </w:r>
      <w:bookmarkEnd w:id="112"/>
      <w:r/>
      <w:bookmarkEnd w:id="113"/>
      <w:r/>
      <w:bookmarkEnd w:id="114"/>
      <w:r/>
      <w:bookmarkEnd w:id="115"/>
      <w:r/>
      <w:bookmarkEnd w:id="116"/>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1.2.1 标的名称：</w:t>
      </w:r>
      <w:r>
        <w:rPr>
          <w:rFonts w:hint="eastAsia" w:ascii="宋体" w:hAnsi="宋体" w:eastAsia="宋体" w:cs="宋体"/>
          <w:color w:val="auto"/>
          <w:sz w:val="24"/>
          <w:szCs w:val="24"/>
          <w:highlight w:val="none"/>
          <w:u w:val="single"/>
          <w:lang w:eastAsia="zh-CN"/>
        </w:rPr>
        <w:t xml:space="preserve">2026-2027年度成片开发及土地报批服务</w:t>
      </w:r>
      <w:r>
        <w:rPr>
          <w:rFonts w:hint="eastAsia" w:ascii="宋体" w:hAnsi="宋体" w:eastAsia="宋体" w:cs="宋体"/>
          <w:color w:val="auto"/>
          <w:sz w:val="24"/>
          <w:szCs w:val="24"/>
          <w:highlight w:val="none"/>
          <w:u w:val="singl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标的内容：</w:t>
      </w:r>
      <w:r/>
    </w:p>
    <w:tbl>
      <w:tblPr>
        <w:tblStyle w:val="1018"/>
        <w:tblW w:w="94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5"/>
        <w:gridCol w:w="3564"/>
        <w:gridCol w:w="1841"/>
        <w:gridCol w:w="2244"/>
        <w:gridCol w:w="984"/>
      </w:tblGrid>
      <w:tr>
        <w:trPr>
          <w:jc w:val="center"/>
          <w:trHeight w:val="369"/>
          <w:tblHeader/>
        </w:trPr>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bookmarkStart w:id="117" w:name="_Toc13918"/>
            <w:r/>
            <w:bookmarkStart w:id="118" w:name="_Toc4929"/>
            <w:r/>
            <w:bookmarkStart w:id="119" w:name="_Toc5635"/>
            <w:r/>
            <w:bookmarkStart w:id="120" w:name="_Toc1386"/>
            <w:r/>
            <w:bookmarkStart w:id="121" w:name="_Toc21124"/>
            <w:r>
              <w:rPr>
                <w:rFonts w:hint="eastAsia" w:ascii="宋体" w:hAnsi="宋体" w:eastAsia="宋体" w:cs="宋体"/>
                <w:b/>
                <w:color w:val="auto"/>
                <w:sz w:val="24"/>
                <w:szCs w:val="24"/>
                <w:highlight w:val="none"/>
                <w:lang w:val="en-US" w:eastAsia="zh-CN"/>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05"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服务类型</w:t>
            </w:r>
            <w:r/>
          </w:p>
        </w:tc>
        <w:tc>
          <w:tcPr>
            <w:shd w:val="clear" w:color="auto" w:fill="ffffff"/>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项目预计实施数量</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备注</w:t>
            </w:r>
            <w:r/>
          </w:p>
        </w:tc>
      </w:tr>
      <w:tr>
        <w:trPr>
          <w:jc w:val="center"/>
          <w:trHeight w:val="369"/>
        </w:trPr>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土地征收成片开发方案编制</w:t>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9"/>
        </w:trPr>
        <w:tc>
          <w:tcPr>
            <w:shd w:val="clear" w:color="auto" w:fill="ffffff"/>
            <w:tcBorders>
              <w:top w:val="single" w:color="000000" w:sz="4" w:space="0"/>
              <w:left w:val="single" w:color="000000" w:sz="4" w:space="0"/>
              <w:bottom w:val="none" w:color="000000" w:sz="4" w:space="0"/>
              <w:right w:val="single" w:color="000000" w:sz="4" w:space="0"/>
            </w:tcBorders>
            <w:tcW w:w="84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3564" w:type="dxa"/>
            <w:vAlign w:val="center"/>
            <w:vMerge w:val="restart"/>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土地征收成片开发方案调整</w:t>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一般调整</w:t>
            </w:r>
            <w:r/>
          </w:p>
        </w:tc>
        <w:tc>
          <w:tcPr>
            <w:shd w:val="clear" w:color="auto" w:fill="ffffff"/>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9"/>
        </w:trPr>
        <w:tc>
          <w:tcPr>
            <w:shd w:val="clear" w:color="auto" w:fill="ffffff"/>
            <w:tcBorders>
              <w:top w:val="single" w:color="000000" w:sz="4" w:space="0"/>
              <w:left w:val="single" w:color="000000" w:sz="4" w:space="0"/>
              <w:bottom w:val="none" w:color="000000" w:sz="4" w:space="0"/>
              <w:right w:val="single" w:color="000000" w:sz="4" w:space="0"/>
            </w:tcBorders>
            <w:tcW w:w="84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356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简易调整</w:t>
            </w:r>
            <w:r/>
          </w:p>
        </w:tc>
        <w:tc>
          <w:tcPr>
            <w:shd w:val="clear" w:color="auto" w:fill="ffffff"/>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9"/>
        </w:trPr>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城镇建设用地报批</w:t>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土地转用、征收</w:t>
            </w:r>
            <w:r/>
          </w:p>
        </w:tc>
        <w:tc>
          <w:tcPr>
            <w:shd w:val="clear" w:color="auto" w:fill="ffffff"/>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9"/>
        </w:trPr>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564" w:type="dxa"/>
            <w:vAlign w:val="center"/>
            <w:vMerge w:val="restart"/>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增减挂钩实施方案报批</w:t>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土地转用</w:t>
            </w:r>
            <w:r/>
          </w:p>
        </w:tc>
        <w:tc>
          <w:tcPr>
            <w:shd w:val="clear" w:color="auto" w:fill="ffffff"/>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9"/>
        </w:trPr>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6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土地征收</w:t>
            </w:r>
            <w:r/>
          </w:p>
        </w:tc>
        <w:tc>
          <w:tcPr>
            <w:shd w:val="clear" w:color="auto" w:fill="ffffff"/>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0"/>
        </w:trPr>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独立选址项目用地报批</w:t>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土地转用、征收</w:t>
            </w:r>
            <w:r/>
          </w:p>
        </w:tc>
        <w:tc>
          <w:tcPr>
            <w:shd w:val="clear" w:color="auto" w:fill="ffffff"/>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服务周期</w:t>
      </w:r>
      <w:r/>
    </w:p>
    <w:p>
      <w:pPr>
        <w:ind w:firstLine="72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各项服务内容的工作周期如下：</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①</w:t>
      </w:r>
      <w:r>
        <w:rPr>
          <w:rFonts w:hint="eastAsia" w:ascii="宋体" w:hAnsi="宋体" w:eastAsia="宋体" w:cs="宋体"/>
          <w:b/>
          <w:color w:val="auto"/>
          <w:sz w:val="24"/>
          <w:szCs w:val="24"/>
          <w:highlight w:val="none"/>
        </w:rPr>
        <w:t xml:space="preserve">土地征收成片开发方案编制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签订后，编制成片开发方案并征询社会公众、专家学者、人大政协、常熟市及苏州市各部门的同意，通过专家评审，获得专家评审意见后30个日历天内取得主管部门对该项目同意的批复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并完成入库备案</w:t>
      </w:r>
      <w:r>
        <w:rPr>
          <w:rFonts w:hint="eastAsia" w:ascii="宋体" w:hAnsi="宋体" w:eastAsia="宋体" w:cs="宋体"/>
          <w:color w:val="auto"/>
          <w:sz w:val="24"/>
          <w:szCs w:val="24"/>
          <w:highlight w:val="none"/>
        </w:rPr>
        <w:t xml:space="preserve">。</w:t>
      </w:r>
      <w:r/>
    </w:p>
    <w:p>
      <w:pPr>
        <w:ind w:left="0" w:firstLine="1058"/>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②土地征收成片开发方案调整：</w:t>
      </w:r>
      <w:r/>
    </w:p>
    <w:p>
      <w:pPr>
        <w:ind w:left="0" w:firstLine="1058"/>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一般调整：合同签订后，编制成片开发方案调整文本并征询社会公众、专家学者、人大政协、常熟市及苏州市各部门的同意，通过专家评审，获得专家评审意见后30个日历天内取得主管部门对该项目同意的批复，并完成入库备案。</w:t>
      </w:r>
      <w:r/>
    </w:p>
    <w:p>
      <w:pPr>
        <w:ind w:left="0" w:firstLine="1058"/>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2.2简易调整：编制完成成片开发方案调整成果，获得拟征收集体土地所涉集体经济组织同意，成果申请上报后，在30个日历天内，通过省级技术审查并完成省、市级成果数据备案。</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
          <w:color w:val="auto"/>
          <w:sz w:val="24"/>
          <w:szCs w:val="24"/>
          <w:highlight w:val="none"/>
        </w:rPr>
        <w:t xml:space="preserve">城镇建设用地报批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签订后，完成征地前程序后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0个日历天内，取得主管部门下发的建设用地批复。</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b/>
          <w:color w:val="auto"/>
          <w:sz w:val="24"/>
          <w:szCs w:val="24"/>
          <w:highlight w:val="none"/>
        </w:rPr>
        <w:t xml:space="preserve">增减挂钩实施方案报批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签订后，完成征地前程序后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0个日历天内，取得主管部门下发的批复。</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b/>
          <w:color w:val="auto"/>
          <w:sz w:val="24"/>
          <w:szCs w:val="24"/>
          <w:highlight w:val="none"/>
        </w:rPr>
        <w:t xml:space="preserve">独立选址项目用地报批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签订后，获得独立选址项目初步设计及概算批复，并完成征地前程序后90个日历天内，取得主管部门下发的建设用地批复。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如遇政策调整或项目本身支撑性材料不满足上报要求情形，则完成时间另行商定。</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 价款</w:t>
      </w:r>
      <w:bookmarkEnd w:id="117"/>
      <w:r/>
      <w:bookmarkEnd w:id="118"/>
      <w:r/>
      <w:bookmarkEnd w:id="119"/>
      <w:r/>
      <w:bookmarkEnd w:id="120"/>
      <w:r/>
      <w:bookmarkEnd w:id="121"/>
      <w:r/>
      <w:r/>
    </w:p>
    <w:p>
      <w:pPr>
        <w:ind w:firstLine="480"/>
        <w:spacing w:line="440" w:lineRule="exact"/>
        <w:rPr>
          <w:rFonts w:hint="eastAsia" w:ascii="宋体" w:hAnsi="宋体" w:eastAsia="宋体" w:cs="宋体"/>
          <w:color w:val="auto"/>
          <w:sz w:val="24"/>
          <w:szCs w:val="24"/>
          <w:highlight w:val="none"/>
        </w:rPr>
      </w:pPr>
      <w:r/>
      <w:bookmarkStart w:id="122" w:name="_Toc30506"/>
      <w:r/>
      <w:bookmarkStart w:id="123" w:name="_Toc14993"/>
      <w:r/>
      <w:bookmarkStart w:id="124" w:name="_Toc3654"/>
      <w:r/>
      <w:bookmarkStart w:id="125" w:name="_Toc26916"/>
      <w:r/>
      <w:bookmarkStart w:id="126" w:name="_Toc30158"/>
      <w:r>
        <w:rPr>
          <w:rFonts w:hint="eastAsia" w:ascii="宋体" w:hAnsi="宋体" w:eastAsia="宋体" w:cs="宋体"/>
          <w:color w:val="auto"/>
          <w:sz w:val="24"/>
          <w:szCs w:val="24"/>
          <w:highlight w:val="none"/>
          <w:lang w:val="en-US" w:eastAsia="zh-CN"/>
        </w:rPr>
        <w:t xml:space="preserve">1.3.1 </w:t>
      </w:r>
      <w:r>
        <w:rPr>
          <w:rFonts w:hint="eastAsia" w:ascii="宋体" w:hAnsi="宋体" w:eastAsia="宋体" w:cs="宋体"/>
          <w:color w:val="auto"/>
          <w:sz w:val="24"/>
          <w:szCs w:val="24"/>
          <w:highlight w:val="none"/>
        </w:rPr>
        <w:t xml:space="preserve">本合同</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eastAsia="zh-CN"/>
        </w:rPr>
        <w:t xml:space="preserve">优惠率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1.3.2 </w:t>
      </w:r>
      <w:r>
        <w:rPr>
          <w:rFonts w:hint="eastAsia" w:ascii="宋体" w:hAnsi="宋体" w:eastAsia="宋体" w:cs="宋体"/>
          <w:color w:val="auto"/>
          <w:sz w:val="24"/>
          <w:szCs w:val="24"/>
          <w:highlight w:val="none"/>
        </w:rPr>
        <w:t xml:space="preserve">合同履行期内，中标</w:t>
      </w:r>
      <w:r>
        <w:rPr>
          <w:rFonts w:hint="eastAsia" w:ascii="宋体" w:hAnsi="宋体" w:eastAsia="宋体" w:cs="宋体"/>
          <w:color w:val="auto"/>
          <w:sz w:val="24"/>
          <w:szCs w:val="24"/>
          <w:highlight w:val="none"/>
          <w:lang w:eastAsia="zh-CN"/>
        </w:rPr>
        <w:t xml:space="preserve">优惠率</w:t>
      </w:r>
      <w:r>
        <w:rPr>
          <w:rFonts w:hint="eastAsia" w:ascii="宋体" w:hAnsi="宋体" w:eastAsia="宋体" w:cs="宋体"/>
          <w:color w:val="auto"/>
          <w:sz w:val="24"/>
          <w:szCs w:val="24"/>
          <w:highlight w:val="none"/>
        </w:rPr>
        <w:t xml:space="preserve">不变。</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付款方式、开票方式</w:t>
      </w:r>
      <w:bookmarkEnd w:id="122"/>
      <w:r/>
      <w:bookmarkEnd w:id="123"/>
      <w:r/>
      <w:bookmarkEnd w:id="124"/>
      <w:r/>
      <w:bookmarkEnd w:id="125"/>
      <w:r/>
      <w:bookmarkEnd w:id="126"/>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本合同项下所有款项均以人民币支付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以单价合同方式结算。</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结算方式：甲方根据实际完成的服务量及实际服务单价</w:t>
      </w:r>
      <w:r>
        <w:rPr>
          <w:rFonts w:hint="eastAsia" w:ascii="宋体" w:hAnsi="宋体" w:eastAsia="宋体" w:cs="宋体"/>
          <w:color w:val="auto"/>
          <w:sz w:val="24"/>
          <w:szCs w:val="24"/>
          <w:highlight w:val="none"/>
          <w:lang w:val="en-US" w:eastAsia="zh-CN"/>
        </w:rPr>
        <w:t xml:space="preserve">每半年</w:t>
      </w:r>
      <w:r>
        <w:rPr>
          <w:rFonts w:hint="eastAsia" w:ascii="宋体" w:hAnsi="宋体" w:eastAsia="宋体" w:cs="宋体"/>
          <w:color w:val="auto"/>
          <w:sz w:val="24"/>
          <w:szCs w:val="24"/>
          <w:highlight w:val="none"/>
        </w:rPr>
        <w:t xml:space="preserve">按实结算服务费用。</w:t>
      </w:r>
      <w:r/>
    </w:p>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《各服务类型收费表》</w:t>
      </w:r>
      <w:r/>
    </w:p>
    <w:tbl>
      <w:tblPr>
        <w:tblStyle w:val="1018"/>
        <w:tblW w:w="89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9"/>
        <w:gridCol w:w="3480"/>
        <w:gridCol w:w="1840"/>
        <w:gridCol w:w="2699"/>
      </w:tblGrid>
      <w:tr>
        <w:trPr>
          <w:jc w:val="center"/>
          <w:trHeight w:val="474"/>
          <w:tblHeader/>
        </w:trPr>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2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服务类型</w:t>
            </w:r>
            <w:r/>
          </w:p>
        </w:tc>
        <w:tc>
          <w:tcPr>
            <w:shd w:val="clear" w:color="auto" w:fill="ffffff"/>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实际收费（元/项目）</w:t>
            </w:r>
            <w:r/>
          </w:p>
        </w:tc>
      </w:tr>
      <w:tr>
        <w:trPr>
          <w:jc w:val="center"/>
          <w:trHeight w:val="350"/>
        </w:trPr>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土地征收成片开发方案编制</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350"/>
        </w:trPr>
        <w:tc>
          <w:tcPr>
            <w:shd w:val="clear" w:color="auto" w:fill="ffffff"/>
            <w:tcBorders>
              <w:top w:val="single" w:color="000000" w:sz="4" w:space="0"/>
              <w:left w:val="single" w:color="000000" w:sz="4" w:space="0"/>
              <w:bottom w:val="none" w:color="000000" w:sz="4" w:space="0"/>
              <w:right w:val="single" w:color="000000" w:sz="4" w:space="0"/>
            </w:tcBorders>
            <w:tcW w:w="91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3480"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土地征收成片开发方案调整</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一般调整</w:t>
            </w:r>
            <w:r/>
          </w:p>
        </w:tc>
        <w:tc>
          <w:tcPr>
            <w:shd w:val="clear" w:color="auto" w:fill="ffffff"/>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350"/>
        </w:trPr>
        <w:tc>
          <w:tcPr>
            <w:shd w:val="clear" w:color="auto" w:fill="ffffff"/>
            <w:tcBorders>
              <w:top w:val="single" w:color="000000" w:sz="4" w:space="0"/>
              <w:left w:val="single" w:color="000000" w:sz="4" w:space="0"/>
              <w:bottom w:val="none" w:color="000000" w:sz="4" w:space="0"/>
              <w:right w:val="single" w:color="000000" w:sz="4" w:space="0"/>
            </w:tcBorders>
            <w:tcW w:w="919" w:type="dxa"/>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3480" w:type="dxa"/>
            <w:vAlign w:val="center"/>
            <w:vMerge w:val="continue"/>
            <w:textDirection w:val="lrTb"/>
            <w:noWrap w:val="false"/>
          </w:tcPr>
          <w:p>
            <w:pPr>
              <w:ind w:left="0" w:right="0" w:firstLine="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简易调整</w:t>
            </w:r>
            <w:r/>
          </w:p>
        </w:tc>
        <w:tc>
          <w:tcPr>
            <w:shd w:val="clear" w:color="auto" w:fill="ffffff"/>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350"/>
        </w:trPr>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城镇建设用地报批</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土地转用、征收</w:t>
            </w:r>
            <w:r/>
          </w:p>
        </w:tc>
        <w:tc>
          <w:tcPr>
            <w:shd w:val="clear" w:color="auto" w:fill="ffffff"/>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350"/>
        </w:trPr>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480"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增减挂钩实施方案报批</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土地转用</w:t>
            </w:r>
            <w:r/>
          </w:p>
        </w:tc>
        <w:tc>
          <w:tcPr>
            <w:shd w:val="clear" w:color="auto" w:fill="ffffff"/>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350"/>
        </w:trPr>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80" w:type="dxa"/>
            <w:vAlign w:val="center"/>
            <w:vMerge w:val="continue"/>
            <w:textDirection w:val="lrTb"/>
            <w:noWrap w:val="false"/>
          </w:tcPr>
          <w:p>
            <w:pPr>
              <w:ind w:left="0" w:right="0" w:firstLine="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土地征收</w:t>
            </w:r>
            <w:r/>
          </w:p>
        </w:tc>
        <w:tc>
          <w:tcPr>
            <w:shd w:val="clear" w:color="auto" w:fill="ffffff"/>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361"/>
        </w:trPr>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独立选址项目用地报批</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土地转用、征收</w:t>
            </w:r>
            <w:r/>
          </w:p>
        </w:tc>
        <w:tc>
          <w:tcPr>
            <w:shd w:val="clear" w:color="auto" w:fill="ffffff"/>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bl>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付款方式：</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服务期内每项服务内容单价以本次中标单价为准</w:t>
      </w:r>
      <w:r/>
    </w:p>
    <w:p>
      <w:pPr>
        <w:ind w:firstLine="36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单个项目按该项目完成进度支付相应服务费用。</w:t>
      </w:r>
      <w:r/>
    </w:p>
    <w:p>
      <w:pPr>
        <w:ind w:firstLine="36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2 \* GB3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成片开发类：</w:t>
      </w:r>
      <w:r>
        <w:rPr>
          <w:rFonts w:hint="eastAsia" w:ascii="宋体" w:hAnsi="宋体" w:eastAsia="宋体" w:cs="宋体"/>
          <w:bCs/>
          <w:color w:val="auto"/>
          <w:sz w:val="24"/>
          <w:szCs w:val="24"/>
          <w:highlight w:val="none"/>
          <w:lang w:eastAsia="zh-CN"/>
        </w:rPr>
        <w:t xml:space="preserve">合同</w:t>
      </w:r>
      <w:r>
        <w:rPr>
          <w:rFonts w:hint="eastAsia" w:ascii="宋体" w:hAnsi="宋体" w:eastAsia="宋体" w:cs="宋体"/>
          <w:bCs/>
          <w:color w:val="auto"/>
          <w:sz w:val="24"/>
          <w:szCs w:val="24"/>
          <w:highlight w:val="none"/>
        </w:rPr>
        <w:t xml:space="preserve">签订后支付项目服务费的</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0%作为预付款；获得批复后支付至项目服务费用的100%。</w:t>
      </w:r>
      <w:r/>
    </w:p>
    <w:p>
      <w:pPr>
        <w:ind w:firstLine="360"/>
        <w:spacing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③实施方案类：合同签订后支付项目服务费的</w:t>
      </w: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zh-CN"/>
        </w:rPr>
        <w:t xml:space="preserve">0%作为预付款；获得批复后支付至项目服务费用的100%。</w:t>
      </w:r>
      <w:r/>
    </w:p>
    <w:p>
      <w:pPr>
        <w:ind w:firstLine="36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zh-CN"/>
        </w:rPr>
        <w:t xml:space="preserve">用地报批类：合同签订后支付项目服务费的</w:t>
      </w: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zh-CN"/>
        </w:rPr>
        <w:t xml:space="preserve">0%作为预付款；获得批复后支付至项目服务费用的100%。</w:t>
      </w:r>
      <w:r/>
    </w:p>
    <w:p>
      <w:pPr>
        <w:ind w:firstLine="24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注：（1）签订合同时，乙方明确表示无需预付款或者主动要求降低预付款比例的，甲方可不适用上述</w:t>
      </w:r>
      <w:r>
        <w:rPr>
          <w:rFonts w:hint="eastAsia" w:ascii="宋体" w:hAnsi="宋体" w:eastAsia="宋体" w:cs="宋体"/>
          <w:b/>
          <w:color w:val="auto"/>
          <w:sz w:val="24"/>
          <w:szCs w:val="24"/>
          <w:highlight w:val="none"/>
          <w:lang w:val="en-US" w:eastAsia="zh-CN"/>
        </w:rPr>
        <w:t xml:space="preserve">预付款</w:t>
      </w:r>
      <w:r>
        <w:rPr>
          <w:rFonts w:hint="eastAsia" w:ascii="宋体" w:hAnsi="宋体" w:eastAsia="宋体" w:cs="宋体"/>
          <w:b/>
          <w:color w:val="auto"/>
          <w:sz w:val="24"/>
          <w:szCs w:val="24"/>
          <w:highlight w:val="none"/>
        </w:rPr>
        <w:t xml:space="preserve">规定</w:t>
      </w:r>
      <w:r>
        <w:rPr>
          <w:rFonts w:hint="eastAsia" w:ascii="宋体" w:hAnsi="宋体" w:eastAsia="宋体" w:cs="宋体"/>
          <w:b/>
          <w:color w:val="auto"/>
          <w:sz w:val="24"/>
          <w:szCs w:val="24"/>
          <w:highlight w:val="none"/>
          <w:lang w:eastAsia="zh-CN"/>
        </w:rPr>
        <w:t xml:space="preserve">，但应当由乙方书面提出并作为采购档案保存</w:t>
      </w:r>
      <w:r>
        <w:rPr>
          <w:rFonts w:hint="eastAsia" w:ascii="宋体" w:hAnsi="宋体" w:eastAsia="宋体" w:cs="宋体"/>
          <w:b/>
          <w:color w:val="auto"/>
          <w:sz w:val="24"/>
          <w:szCs w:val="24"/>
          <w:highlight w:val="none"/>
        </w:rPr>
        <w:t xml:space="preserve">。</w:t>
      </w:r>
      <w:r/>
    </w:p>
    <w:p>
      <w:pPr>
        <w:ind w:firstLine="723"/>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（2）以上每次付款前，乙方均应提供符合甲方要求的同等金额的合法有效发票。否则，甲方有权顺延付款时间，且不承担任何违约或赔偿责任。</w:t>
      </w:r>
      <w:r/>
    </w:p>
    <w:p>
      <w:pPr>
        <w:ind w:firstLine="723"/>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（3）本项目支付方式支持数字人民币方式。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发票开具方式：</w:t>
      </w:r>
      <w:r>
        <w:rPr>
          <w:rFonts w:hint="eastAsia" w:ascii="宋体" w:hAnsi="宋体" w:eastAsia="宋体" w:cs="宋体"/>
          <w:b/>
          <w:bCs/>
          <w:color w:val="auto"/>
          <w:sz w:val="24"/>
          <w:szCs w:val="24"/>
          <w:highlight w:val="none"/>
          <w:u w:val="single"/>
        </w:rPr>
        <w:t xml:space="preserve">增值税专用发票或增值税普通发票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 服务期限和地点</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1.5.1 服务期限：</w:t>
      </w:r>
      <w:r>
        <w:rPr>
          <w:rFonts w:hint="eastAsia" w:ascii="宋体" w:hAnsi="宋体" w:eastAsia="宋体" w:cs="宋体"/>
          <w:color w:val="auto"/>
          <w:sz w:val="24"/>
          <w:szCs w:val="24"/>
          <w:highlight w:val="none"/>
          <w:u w:val="single"/>
          <w:lang w:eastAsia="zh-CN"/>
        </w:rPr>
        <w:t xml:space="preserve">自签订合同之日起至2027年12月31日</w:t>
      </w:r>
      <w:r>
        <w:rPr>
          <w:rFonts w:hint="eastAsia" w:ascii="宋体" w:hAnsi="宋体" w:eastAsia="宋体" w:cs="宋体"/>
          <w:color w:val="auto"/>
          <w:sz w:val="24"/>
          <w:szCs w:val="24"/>
          <w:highlight w:val="none"/>
          <w:u w:val="single"/>
        </w:rPr>
        <w:t xml:space="preserve">。</w:t>
      </w:r>
      <w:r/>
    </w:p>
    <w:p>
      <w:pPr>
        <w:ind w:firstLine="480"/>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1.5.2 </w:t>
      </w:r>
      <w:r>
        <w:rPr>
          <w:rFonts w:hint="eastAsia" w:ascii="宋体" w:hAnsi="宋体" w:eastAsia="宋体" w:cs="宋体"/>
          <w:bCs/>
          <w:color w:val="auto"/>
          <w:sz w:val="24"/>
          <w:szCs w:val="24"/>
          <w:highlight w:val="none"/>
        </w:rPr>
        <w:t xml:space="preserve">服务地点：</w:t>
      </w:r>
      <w:r>
        <w:rPr>
          <w:rFonts w:hint="eastAsia" w:ascii="宋体" w:hAnsi="宋体" w:eastAsia="宋体" w:cs="宋体"/>
          <w:bCs/>
          <w:color w:val="auto"/>
          <w:sz w:val="24"/>
          <w:szCs w:val="24"/>
          <w:highlight w:val="none"/>
          <w:u w:val="single"/>
        </w:rPr>
        <w:t xml:space="preserve">常熟市范围内。</w:t>
      </w:r>
      <w:bookmarkStart w:id="127" w:name="_Toc24662"/>
      <w:r/>
      <w:bookmarkStart w:id="128" w:name="_Toc5698"/>
      <w:r/>
      <w:bookmarkStart w:id="129" w:name="_Toc8586"/>
      <w:r/>
      <w:bookmarkStart w:id="130" w:name="_Toc2375"/>
      <w:r/>
      <w:bookmarkStart w:id="131" w:name="_Toc3079"/>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 双方权利义务：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1.6.1甲方权利义务</w:t>
      </w:r>
      <w:r/>
    </w:p>
    <w:p>
      <w:pPr>
        <w:ind w:firstLine="60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（1）甲方可指派代表作为项目负责人，与乙方进行及时的联络并监督、协调服务的执行情况。</w:t>
      </w:r>
      <w:r/>
    </w:p>
    <w:p>
      <w:pPr>
        <w:ind w:firstLine="60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（2）经验收合格后按时支付费用。</w:t>
      </w:r>
      <w:r/>
    </w:p>
    <w:p>
      <w:pPr>
        <w:ind w:firstLine="60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（3）法规、政策规定由甲方承担的其他责任。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1.6.2乙方权利义务</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（1）乙方应及时履行合同一般性义务和文件中规定的具体义务。乙方所提供服务的质量应与投标文件规定及投标响应文件承诺的内容相一致。</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（2）在本合同期内或合同终止后，未经得甲方同意，不得泄露与本项目有关的保密资料。</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（3）乙方应独立承担服务中由于乙方原因造成的各类责任。</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（4）法规、政策规定由乙方承担的其他责任。</w:t>
      </w:r>
      <w:bookmarkEnd w:id="127"/>
      <w:r/>
      <w:bookmarkEnd w:id="128"/>
      <w:r/>
      <w:bookmarkEnd w:id="129"/>
      <w:r/>
      <w:bookmarkEnd w:id="130"/>
      <w:r/>
      <w:bookmarkEnd w:id="131"/>
      <w:r/>
      <w:r/>
    </w:p>
    <w:p>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rPr>
        <w:t xml:space="preserve">1.7 违约责任</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1.7.1甲方未按合同规定期限向乙方支付合同价款的，每逾期一天向乙方偿付欠款总额 </w:t>
      </w:r>
      <w:r>
        <w:rPr>
          <w:rFonts w:hint="eastAsia" w:ascii="宋体" w:hAnsi="宋体" w:eastAsia="宋体" w:cs="宋体"/>
          <w:bCs/>
          <w:color w:val="auto"/>
          <w:sz w:val="24"/>
          <w:szCs w:val="24"/>
          <w:highlight w:val="none"/>
          <w:u w:val="single"/>
        </w:rPr>
        <w:t xml:space="preserve">0.5 </w:t>
      </w:r>
      <w:r>
        <w:rPr>
          <w:rFonts w:hint="eastAsia" w:ascii="宋体" w:hAnsi="宋体" w:eastAsia="宋体" w:cs="宋体"/>
          <w:bCs/>
          <w:color w:val="auto"/>
          <w:sz w:val="24"/>
          <w:szCs w:val="24"/>
          <w:highlight w:val="none"/>
        </w:rPr>
        <w:t xml:space="preserve">％的滞纳金，但累计总额不超过欠款总额的</w:t>
      </w:r>
      <w:r>
        <w:rPr>
          <w:rFonts w:hint="eastAsia" w:ascii="宋体" w:hAnsi="宋体" w:eastAsia="宋体" w:cs="宋体"/>
          <w:bCs/>
          <w:color w:val="auto"/>
          <w:sz w:val="24"/>
          <w:szCs w:val="24"/>
          <w:highlight w:val="none"/>
          <w:u w:val="single"/>
        </w:rPr>
        <w:t xml:space="preserve"> 5 </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1.7.2有下列情形之一的，乙方应当向甲方支付合同约定合同价款金额</w:t>
      </w:r>
      <w:r>
        <w:rPr>
          <w:rFonts w:hint="eastAsia" w:ascii="宋体" w:hAnsi="宋体" w:eastAsia="宋体" w:cs="宋体"/>
          <w:bCs/>
          <w:color w:val="auto"/>
          <w:sz w:val="24"/>
          <w:szCs w:val="24"/>
          <w:highlight w:val="none"/>
          <w:u w:val="single"/>
        </w:rPr>
        <w:t xml:space="preserve"> 10 </w:t>
      </w:r>
      <w:r>
        <w:rPr>
          <w:rFonts w:hint="eastAsia" w:ascii="宋体" w:hAnsi="宋体" w:eastAsia="宋体" w:cs="宋体"/>
          <w:bCs/>
          <w:color w:val="auto"/>
          <w:sz w:val="24"/>
          <w:szCs w:val="24"/>
          <w:highlight w:val="none"/>
        </w:rPr>
        <w:t xml:space="preserve">%（或5万元，以金额较大的为准）的违约金。</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1.7.2.1乙方服务团队成员未经甲方同意发生变更，经甲方要求恢复后，未在合理期限内（ 5 个工作日内）恢复的；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1.7.2.2乙方单位总体服务能力发生下降，专业技术人员减员或资质下降人数达到20%的；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1.7.2.3乙方人员无故未能按约到甲方提供服务，服务期限内达到 2 人次的；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1.7.2.4乙方人员不能响应甲方紧急服务需求的；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1.7.2.5因乙方服务人员原因在服务期间给甲方造成不良影响的，服务期限内达到 1 次的；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1.7.2.6根据1.6条乙方权利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 10 ％（或5万元，以金额较大的为准）的违约金。</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1.7.3乙方在承担上述1.7.2项中一项或多项违约责任后，仍应继续履行合同规定的义务（甲方解除合同的除外）。甲方未能及时追究乙方的任何一项违约责任并不表明甲方放弃追究乙方该项或其他违约责任。</w:t>
      </w:r>
      <w:r/>
    </w:p>
    <w:p>
      <w:pPr>
        <w:spacing w:line="440" w:lineRule="exact"/>
        <w:rPr>
          <w:rFonts w:hint="eastAsia" w:ascii="宋体" w:hAnsi="宋体" w:eastAsia="宋体" w:cs="宋体"/>
          <w:b/>
          <w:bCs/>
          <w:color w:val="auto"/>
          <w:sz w:val="24"/>
          <w:szCs w:val="24"/>
          <w:highlight w:val="none"/>
        </w:rPr>
      </w:pPr>
      <w:r/>
      <w:bookmarkStart w:id="132" w:name="_Toc18683"/>
      <w:r/>
      <w:bookmarkStart w:id="133" w:name="_Toc30329"/>
      <w:r/>
      <w:bookmarkStart w:id="134" w:name="_Toc32454"/>
      <w:r/>
      <w:bookmarkStart w:id="135" w:name="_Toc9497"/>
      <w:r/>
      <w:bookmarkStart w:id="136" w:name="_Toc26807"/>
      <w:r>
        <w:rPr>
          <w:rFonts w:hint="eastAsia" w:ascii="宋体" w:hAnsi="宋体" w:eastAsia="宋体" w:cs="宋体"/>
          <w:b/>
          <w:bCs/>
          <w:color w:val="auto"/>
          <w:sz w:val="24"/>
          <w:szCs w:val="24"/>
          <w:highlight w:val="none"/>
        </w:rPr>
        <w:t xml:space="preserve">1.8合同的解除</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出现下列情形之一的，甲方有权解除本合同：</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1.8.1乙方单位总体服务能力发生下降，专业技术人员减员或资质下降人数达到 30%的；</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1.8.2乙方人员无故未能按约到甲方提供服务，服务期限内达到 3 人次的；</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1.8.3乙方人员不能响应甲方紧急服务需求的，经甲方指出后未能改正的；</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1.8.4因乙方服务人员原因在服务期间给甲方造成不良影响的，服务期限内达到 2 次的；</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1.8.5乙方及其服务人员虚报服务内容、服务时间等，骗取甲方服务费用的;</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1.8.6因乙方不当服务或服务人员违法，给甲方造成严重不良影响的；</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1.8.7乙方一年内因生产安全事故受到行政处罚达到3次的，或者因为乙方发生生产安全事故、环境损害事故，给甲方造成重大不良影响的或导致甲方受到行政处罚的。</w:t>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1.9合同争议的解决</w:t>
      </w:r>
      <w:bookmarkEnd w:id="132"/>
      <w:r/>
      <w:bookmarkEnd w:id="133"/>
      <w:r/>
      <w:bookmarkEnd w:id="134"/>
      <w:r/>
      <w:bookmarkEnd w:id="135"/>
      <w:r/>
      <w:bookmarkEnd w:id="136"/>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bCs/>
          <w:color w:val="auto"/>
          <w:sz w:val="24"/>
          <w:szCs w:val="24"/>
          <w:highlight w:val="none"/>
          <w:u w:val="single"/>
        </w:rPr>
        <w:t xml:space="preserve">1.9.1</w:t>
      </w:r>
      <w:r>
        <w:rPr>
          <w:rFonts w:hint="eastAsia" w:ascii="宋体" w:hAnsi="宋体" w:eastAsia="宋体" w:cs="宋体"/>
          <w:bCs/>
          <w:color w:val="auto"/>
          <w:sz w:val="24"/>
          <w:szCs w:val="24"/>
          <w:highlight w:val="none"/>
        </w:rPr>
        <w:t xml:space="preserve">种方式解决：</w:t>
      </w:r>
      <w:r/>
    </w:p>
    <w:p>
      <w:pPr>
        <w:ind w:firstLine="480"/>
        <w:spacing w:line="43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1.9.1向</w:t>
      </w:r>
      <w:r>
        <w:rPr>
          <w:rFonts w:hint="eastAsia" w:ascii="宋体" w:hAnsi="宋体" w:eastAsia="宋体" w:cs="宋体"/>
          <w:bCs/>
          <w:color w:val="auto"/>
          <w:sz w:val="24"/>
          <w:szCs w:val="24"/>
          <w:highlight w:val="none"/>
          <w:u w:val="single"/>
        </w:rPr>
        <w:t xml:space="preserve">（项目所在地、合同履行地、标的物所在地等）</w:t>
      </w:r>
      <w:r>
        <w:rPr>
          <w:rFonts w:hint="eastAsia" w:ascii="宋体" w:hAnsi="宋体" w:eastAsia="宋体" w:cs="宋体"/>
          <w:bCs/>
          <w:color w:val="auto"/>
          <w:sz w:val="24"/>
          <w:szCs w:val="24"/>
          <w:highlight w:val="none"/>
        </w:rPr>
        <w:t xml:space="preserve">人民法院起诉。</w:t>
      </w:r>
      <w:r/>
    </w:p>
    <w:p>
      <w:pPr>
        <w:spacing w:line="440" w:lineRule="exact"/>
        <w:rPr>
          <w:rFonts w:hint="eastAsia" w:ascii="宋体" w:hAnsi="宋体" w:eastAsia="宋体" w:cs="宋体"/>
          <w:b/>
          <w:bCs/>
          <w:color w:val="auto"/>
          <w:sz w:val="24"/>
          <w:szCs w:val="24"/>
          <w:highlight w:val="none"/>
        </w:rPr>
      </w:pPr>
      <w:r/>
      <w:bookmarkStart w:id="137" w:name="_Toc23784"/>
      <w:r/>
      <w:bookmarkStart w:id="138" w:name="_Toc15827"/>
      <w:r/>
      <w:bookmarkStart w:id="139" w:name="_Toc16417"/>
      <w:r/>
      <w:bookmarkStart w:id="140" w:name="_Toc12273"/>
      <w:r/>
      <w:bookmarkStart w:id="141" w:name="_Toc26227"/>
      <w:r>
        <w:rPr>
          <w:rFonts w:hint="eastAsia" w:ascii="宋体" w:hAnsi="宋体" w:eastAsia="宋体" w:cs="宋体"/>
          <w:b/>
          <w:bCs/>
          <w:color w:val="auto"/>
          <w:sz w:val="24"/>
          <w:szCs w:val="24"/>
          <w:highlight w:val="none"/>
        </w:rPr>
        <w:t xml:space="preserve">1.10 合同生效</w:t>
      </w:r>
      <w:bookmarkEnd w:id="137"/>
      <w:r/>
      <w:bookmarkEnd w:id="138"/>
      <w:r/>
      <w:bookmarkEnd w:id="139"/>
      <w:r/>
      <w:bookmarkEnd w:id="140"/>
      <w:r/>
      <w:bookmarkEnd w:id="141"/>
      <w:r>
        <w:rPr>
          <w:rFonts w:hint="eastAsia" w:ascii="宋体" w:hAnsi="宋体" w:eastAsia="宋体" w:cs="宋体"/>
          <w:b/>
          <w:bCs/>
          <w:color w:val="auto"/>
          <w:sz w:val="24"/>
          <w:szCs w:val="24"/>
          <w:highlight w:val="none"/>
        </w:rPr>
        <w:t xml:space="preserve">及其他</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1.10.1合同应在甲乙双方代表签字并加盖公章后生效。</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1.10.2本合同一式五份，以简体中文书写，甲方两份、乙方两份、涵熙（苏州）工程顾问有限公司一份。</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1.10.3本合同应按照中华人民共和国的现行法律进行解释。</w:t>
      </w:r>
      <w:bookmarkStart w:id="142" w:name="_Toc331685783"/>
      <w:r/>
      <w:r/>
    </w:p>
    <w:p>
      <w:pPr>
        <w:ind w:firstLine="200"/>
        <w:jc w:val="center"/>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第二部分 合同一般条款</w:t>
      </w:r>
      <w:bookmarkEnd w:id="142"/>
      <w:r/>
      <w:r/>
    </w:p>
    <w:p>
      <w:pPr>
        <w:spacing w:line="440" w:lineRule="exact"/>
        <w:rPr>
          <w:rFonts w:hint="eastAsia" w:ascii="宋体" w:hAnsi="宋体" w:eastAsia="宋体" w:cs="宋体"/>
          <w:b/>
          <w:bCs/>
          <w:color w:val="auto"/>
          <w:sz w:val="24"/>
          <w:szCs w:val="24"/>
          <w:highlight w:val="none"/>
        </w:rPr>
      </w:pPr>
      <w:r/>
      <w:bookmarkStart w:id="143" w:name="_Ref467379109"/>
      <w:r/>
      <w:bookmarkStart w:id="144" w:name="_Toc25079"/>
      <w:r/>
      <w:bookmarkStart w:id="145" w:name="_Ref467379225"/>
      <w:r/>
      <w:bookmarkStart w:id="146" w:name="_Ref467378463"/>
      <w:r/>
      <w:bookmarkStart w:id="147" w:name="_Ref467379195"/>
      <w:r/>
      <w:bookmarkStart w:id="148" w:name="_Toc279701240"/>
      <w:r/>
      <w:bookmarkStart w:id="149" w:name="_Toc259093669"/>
      <w:r/>
      <w:bookmarkStart w:id="150" w:name="_Ref467379094"/>
      <w:r/>
      <w:bookmarkStart w:id="151" w:name="_Ref467378499"/>
      <w:r/>
      <w:bookmarkStart w:id="152" w:name="_Toc5228"/>
      <w:r/>
      <w:bookmarkStart w:id="153" w:name="_Toc19680"/>
      <w:r/>
      <w:bookmarkStart w:id="154" w:name="_Toc14021"/>
      <w:r/>
      <w:bookmarkStart w:id="155" w:name="_Ref467378404"/>
      <w:r/>
      <w:bookmarkStart w:id="156" w:name="_Ref467379214"/>
      <w:r/>
      <w:bookmarkStart w:id="157" w:name="_Ref467379205"/>
      <w:r/>
      <w:bookmarkStart w:id="158" w:name="_Toc31297"/>
      <w:r/>
      <w:bookmarkStart w:id="159" w:name="_Ref467379101"/>
      <w:r/>
      <w:bookmarkStart w:id="160" w:name="_Toc487900349"/>
      <w:r>
        <w:rPr>
          <w:rFonts w:hint="eastAsia" w:ascii="宋体" w:hAnsi="宋体" w:eastAsia="宋体" w:cs="宋体"/>
          <w:b/>
          <w:bCs/>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本合同中的下列词语应按以下内容进行解释：</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2.1.1“合同”系指采购人和中标人签订的载明双方当事人所达成的协议，并包括所有的附件、附录和构成合同的其他文件。</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2.1.2“合同价”系指根据合同约定，中标人在完全履行合同义务后，采购人应支付给中标人的价格。</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2.1.3“服务”系指中标人根据合同约定应向采购人履行的除货物和工程以外的其他政府采购对象，包括采购人自身需要的服务和向社会公众提供的公共服务。</w:t>
      </w:r>
      <w:r/>
    </w:p>
    <w:p>
      <w:pPr>
        <w:ind w:firstLine="480"/>
        <w:spacing w:line="440" w:lineRule="exact"/>
        <w:rPr>
          <w:rFonts w:hint="eastAsia" w:ascii="宋体" w:hAnsi="宋体" w:eastAsia="宋体" w:cs="宋体"/>
          <w:bCs/>
          <w:color w:val="auto"/>
          <w:sz w:val="24"/>
          <w:szCs w:val="24"/>
          <w:highlight w:val="none"/>
        </w:rPr>
      </w:pPr>
      <w:r/>
      <w:bookmarkStart w:id="161" w:name="_Ref467378840"/>
      <w:r>
        <w:rPr>
          <w:rFonts w:hint="eastAsia" w:ascii="宋体" w:hAnsi="宋体" w:eastAsia="宋体" w:cs="宋体"/>
          <w:bCs/>
          <w:color w:val="auto"/>
          <w:sz w:val="24"/>
          <w:szCs w:val="24"/>
          <w:highlight w:val="none"/>
        </w:rPr>
        <w:t xml:space="preserve">2.1.4“甲方”系指与中标人签署合同的采购人</w:t>
      </w:r>
      <w:bookmarkEnd w:id="161"/>
      <w:r>
        <w:rPr>
          <w:rFonts w:hint="eastAsia" w:ascii="宋体" w:hAnsi="宋体" w:eastAsia="宋体" w:cs="宋体"/>
          <w:bCs/>
          <w:color w:val="auto"/>
          <w:sz w:val="24"/>
          <w:szCs w:val="24"/>
          <w:highlight w:val="none"/>
        </w:rPr>
        <w:t xml:space="preserve">；采购人委托采购代理机构代表其与乙方签订合同的，采购人的授权委托书作为合同附件。</w:t>
      </w:r>
      <w:r/>
    </w:p>
    <w:p>
      <w:pPr>
        <w:ind w:firstLine="480"/>
        <w:spacing w:line="440" w:lineRule="exact"/>
        <w:rPr>
          <w:rFonts w:hint="eastAsia" w:ascii="宋体" w:hAnsi="宋体" w:eastAsia="宋体" w:cs="宋体"/>
          <w:bCs/>
          <w:color w:val="auto"/>
          <w:sz w:val="24"/>
          <w:szCs w:val="24"/>
          <w:highlight w:val="none"/>
        </w:rPr>
      </w:pPr>
      <w:r/>
      <w:bookmarkStart w:id="162" w:name="_Ref467379400"/>
      <w:r>
        <w:rPr>
          <w:rFonts w:hint="eastAsia" w:ascii="宋体" w:hAnsi="宋体" w:eastAsia="宋体" w:cs="宋体"/>
          <w:bCs/>
          <w:color w:val="auto"/>
          <w:sz w:val="24"/>
          <w:szCs w:val="24"/>
          <w:highlight w:val="none"/>
        </w:rPr>
        <w:t xml:space="preserve">2.1.5“乙方”系指根据合同约定提供服务的</w:t>
      </w:r>
      <w:bookmarkEnd w:id="162"/>
      <w:r>
        <w:rPr>
          <w:rFonts w:hint="eastAsia" w:ascii="宋体" w:hAnsi="宋体" w:eastAsia="宋体" w:cs="宋体"/>
          <w:bCs/>
          <w:color w:val="auto"/>
          <w:sz w:val="24"/>
          <w:szCs w:val="24"/>
          <w:highlight w:val="none"/>
        </w:rPr>
        <w:t xml:space="preserve">中标人。</w:t>
      </w:r>
      <w:bookmarkStart w:id="163" w:name="_Ref467379436"/>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2.1.6“现场”系指合同约定提供服务的地点。</w:t>
      </w:r>
      <w:bookmarkEnd w:id="163"/>
      <w:r/>
      <w:r/>
    </w:p>
    <w:p>
      <w:pPr>
        <w:spacing w:line="440" w:lineRule="exact"/>
        <w:rPr>
          <w:rFonts w:hint="eastAsia" w:ascii="宋体" w:hAnsi="宋体" w:eastAsia="宋体" w:cs="宋体"/>
          <w:b/>
          <w:bCs/>
          <w:color w:val="auto"/>
          <w:sz w:val="24"/>
          <w:szCs w:val="24"/>
          <w:highlight w:val="none"/>
        </w:rPr>
      </w:pPr>
      <w:r/>
      <w:bookmarkStart w:id="164" w:name="_Toc279701241"/>
      <w:r/>
      <w:bookmarkStart w:id="165" w:name="_Toc259093670"/>
      <w:r/>
      <w:bookmarkStart w:id="166" w:name="_Toc16752"/>
      <w:r/>
      <w:bookmarkStart w:id="167" w:name="_Toc487900350"/>
      <w:r/>
      <w:bookmarkStart w:id="168" w:name="_Toc23289"/>
      <w:r/>
      <w:bookmarkStart w:id="169" w:name="_Toc19539"/>
      <w:r/>
      <w:bookmarkStart w:id="170" w:name="_Toc3769"/>
      <w:r/>
      <w:bookmarkStart w:id="171" w:name="_Toc31402"/>
      <w:r>
        <w:rPr>
          <w:rFonts w:hint="eastAsia" w:ascii="宋体" w:hAnsi="宋体" w:eastAsia="宋体" w:cs="宋体"/>
          <w:b/>
          <w:bCs/>
          <w:color w:val="auto"/>
          <w:sz w:val="24"/>
          <w:szCs w:val="24"/>
          <w:highlight w:val="none"/>
        </w:rPr>
        <w:t xml:space="preserve">2.2 技术规范</w:t>
      </w:r>
      <w:bookmarkEnd w:id="164"/>
      <w:r/>
      <w:bookmarkEnd w:id="165"/>
      <w:r/>
      <w:bookmarkEnd w:id="166"/>
      <w:r/>
      <w:bookmarkEnd w:id="167"/>
      <w:r/>
      <w:bookmarkEnd w:id="168"/>
      <w:r/>
      <w:bookmarkEnd w:id="169"/>
      <w:r/>
      <w:bookmarkEnd w:id="170"/>
      <w:r/>
      <w:bookmarkEnd w:id="171"/>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spacing w:line="440" w:lineRule="exact"/>
        <w:rPr>
          <w:rFonts w:hint="eastAsia" w:ascii="宋体" w:hAnsi="宋体" w:eastAsia="宋体" w:cs="宋体"/>
          <w:b/>
          <w:bCs/>
          <w:color w:val="auto"/>
          <w:sz w:val="24"/>
          <w:szCs w:val="24"/>
          <w:highlight w:val="none"/>
        </w:rPr>
      </w:pPr>
      <w:r/>
      <w:bookmarkStart w:id="172" w:name="_Toc27945"/>
      <w:r/>
      <w:bookmarkStart w:id="173" w:name="_Toc279701242"/>
      <w:r/>
      <w:bookmarkStart w:id="174" w:name="_Toc12412"/>
      <w:r/>
      <w:bookmarkStart w:id="175" w:name="_Toc259093671"/>
      <w:r/>
      <w:bookmarkStart w:id="176" w:name="_Toc13673"/>
      <w:r/>
      <w:bookmarkStart w:id="177" w:name="_Toc487900351"/>
      <w:r/>
      <w:bookmarkStart w:id="178" w:name="_Toc9161"/>
      <w:r/>
      <w:bookmarkStart w:id="179" w:name="_Toc4133"/>
      <w:r>
        <w:rPr>
          <w:rFonts w:hint="eastAsia" w:ascii="宋体" w:hAnsi="宋体" w:eastAsia="宋体" w:cs="宋体"/>
          <w:b/>
          <w:bCs/>
          <w:color w:val="auto"/>
          <w:sz w:val="24"/>
          <w:szCs w:val="24"/>
          <w:highlight w:val="none"/>
        </w:rPr>
        <w:t xml:space="preserve">2.3 知识产权</w:t>
      </w:r>
      <w:bookmarkEnd w:id="172"/>
      <w:r/>
      <w:bookmarkEnd w:id="173"/>
      <w:r/>
      <w:bookmarkEnd w:id="174"/>
      <w:r/>
      <w:bookmarkEnd w:id="175"/>
      <w:r/>
      <w:bookmarkEnd w:id="176"/>
      <w:r/>
      <w:bookmarkEnd w:id="177"/>
      <w:r/>
      <w:bookmarkEnd w:id="178"/>
      <w:r/>
      <w:bookmarkEnd w:id="179"/>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2.3.1乙方应保证其提供的服务不受任何第三方提出的侵犯其著作权、商标权、专利权等知识产权方面的起诉；如果任何第三方提出侵权指控，那么乙方须与该第三方交涉并承担由此发生的一切责任、费用和赔偿。</w:t>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 履约检查和问题反馈</w:t>
      </w:r>
      <w:r/>
    </w:p>
    <w:p>
      <w:pPr>
        <w:ind w:firstLine="480"/>
        <w:spacing w:line="440" w:lineRule="exact"/>
        <w:rPr>
          <w:rFonts w:hint="eastAsia" w:ascii="宋体" w:hAnsi="宋体" w:eastAsia="宋体" w:cs="宋体"/>
          <w:bCs/>
          <w:color w:val="auto"/>
          <w:sz w:val="24"/>
          <w:szCs w:val="24"/>
          <w:highlight w:val="none"/>
        </w:rPr>
      </w:pPr>
      <w:r/>
      <w:bookmarkStart w:id="180" w:name="_Toc186431854"/>
      <w:r/>
      <w:bookmarkStart w:id="181" w:name="_Toc279701247"/>
      <w:r/>
      <w:bookmarkStart w:id="182" w:name="_Ref467379807"/>
      <w:r/>
      <w:bookmarkStart w:id="183" w:name="_Toc259093676"/>
      <w:r/>
      <w:bookmarkStart w:id="184" w:name="_Toc487900357"/>
      <w:r/>
      <w:bookmarkStart w:id="185" w:name="_Ref467379793"/>
      <w:r>
        <w:rPr>
          <w:rFonts w:hint="eastAsia" w:ascii="宋体" w:hAnsi="宋体" w:eastAsia="宋体" w:cs="宋体"/>
          <w:bCs/>
          <w:color w:val="auto"/>
          <w:sz w:val="24"/>
          <w:szCs w:val="24"/>
          <w:highlight w:val="none"/>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2.4.2合同履行期间，甲方有权将履行过程中出现的问题反馈给乙方，双方当事人应以书面形式约定需要完善和改进的内容</w:t>
      </w:r>
      <w:bookmarkEnd w:id="180"/>
      <w:r/>
      <w:bookmarkStart w:id="186" w:name="_Toc186431855"/>
      <w:r>
        <w:rPr>
          <w:rFonts w:hint="eastAsia" w:ascii="宋体" w:hAnsi="宋体" w:eastAsia="宋体" w:cs="宋体"/>
          <w:bCs/>
          <w:color w:val="auto"/>
          <w:sz w:val="24"/>
          <w:szCs w:val="24"/>
          <w:highlight w:val="none"/>
        </w:rPr>
        <w:t xml:space="preserve">。</w:t>
      </w:r>
      <w:bookmarkEnd w:id="181"/>
      <w:r/>
      <w:bookmarkEnd w:id="182"/>
      <w:r/>
      <w:bookmarkEnd w:id="183"/>
      <w:r/>
      <w:bookmarkEnd w:id="184"/>
      <w:r/>
      <w:bookmarkEnd w:id="185"/>
      <w:r/>
      <w:bookmarkEnd w:id="186"/>
      <w:r/>
      <w:r/>
    </w:p>
    <w:p>
      <w:pPr>
        <w:spacing w:line="440" w:lineRule="exact"/>
        <w:rPr>
          <w:rFonts w:hint="eastAsia" w:ascii="宋体" w:hAnsi="宋体" w:eastAsia="宋体" w:cs="宋体"/>
          <w:b/>
          <w:bCs/>
          <w:color w:val="auto"/>
          <w:sz w:val="24"/>
          <w:szCs w:val="24"/>
          <w:highlight w:val="none"/>
        </w:rPr>
      </w:pPr>
      <w:r/>
      <w:bookmarkStart w:id="187" w:name="_Toc487900358"/>
      <w:r/>
      <w:bookmarkStart w:id="188" w:name="_Ref467379852"/>
      <w:r/>
      <w:bookmarkStart w:id="189" w:name="_Toc259093677"/>
      <w:r/>
      <w:bookmarkStart w:id="190" w:name="_Ref467379923"/>
      <w:r/>
      <w:bookmarkStart w:id="191" w:name="_Ref467379863"/>
      <w:r/>
      <w:bookmarkStart w:id="192" w:name="_Toc279701248"/>
      <w:r/>
      <w:bookmarkStart w:id="193" w:name="_Toc13467"/>
      <w:r/>
      <w:bookmarkStart w:id="194" w:name="_Toc18990"/>
      <w:r/>
      <w:bookmarkStart w:id="195" w:name="_Toc16163"/>
      <w:r/>
      <w:bookmarkStart w:id="196" w:name="_Toc30507"/>
      <w:r/>
      <w:bookmarkStart w:id="197" w:name="_Toc13154"/>
      <w:r>
        <w:rPr>
          <w:rFonts w:hint="eastAsia" w:ascii="宋体" w:hAnsi="宋体" w:eastAsia="宋体" w:cs="宋体"/>
          <w:b/>
          <w:bCs/>
          <w:color w:val="auto"/>
          <w:sz w:val="24"/>
          <w:szCs w:val="24"/>
          <w:highlight w:val="none"/>
        </w:rPr>
        <w:t xml:space="preserve">2.5 技术资料</w:t>
      </w:r>
      <w:bookmarkEnd w:id="187"/>
      <w:r/>
      <w:bookmarkEnd w:id="188"/>
      <w:r/>
      <w:bookmarkEnd w:id="189"/>
      <w:r/>
      <w:bookmarkEnd w:id="190"/>
      <w:r/>
      <w:bookmarkEnd w:id="191"/>
      <w:r/>
      <w:bookmarkEnd w:id="192"/>
      <w:r>
        <w:rPr>
          <w:rFonts w:hint="eastAsia" w:ascii="宋体" w:hAnsi="宋体" w:eastAsia="宋体" w:cs="宋体"/>
          <w:b/>
          <w:bCs/>
          <w:color w:val="auto"/>
          <w:sz w:val="24"/>
          <w:szCs w:val="24"/>
          <w:highlight w:val="none"/>
        </w:rPr>
        <w:t xml:space="preserve">和保密义务</w:t>
      </w:r>
      <w:bookmarkEnd w:id="193"/>
      <w:r/>
      <w:bookmarkEnd w:id="194"/>
      <w:r/>
      <w:bookmarkEnd w:id="195"/>
      <w:r/>
      <w:bookmarkEnd w:id="196"/>
      <w:r/>
      <w:bookmarkEnd w:id="197"/>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2.5.1乙方有权依据合同约定和项目需要，向甲方了解有关情况，调阅有关资料等，甲方应予积极配合。</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2.5.2乙方有义务妥善保管和保护由甲方提供的前款信息和资料等。</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spacing w:line="440" w:lineRule="exact"/>
        <w:rPr>
          <w:rFonts w:hint="eastAsia" w:ascii="宋体" w:hAnsi="宋体" w:eastAsia="宋体" w:cs="宋体"/>
          <w:b/>
          <w:bCs/>
          <w:color w:val="auto"/>
          <w:sz w:val="24"/>
          <w:szCs w:val="24"/>
          <w:highlight w:val="none"/>
        </w:rPr>
      </w:pPr>
      <w:r/>
      <w:bookmarkStart w:id="198" w:name="_Toc19069"/>
      <w:r/>
      <w:bookmarkStart w:id="199" w:name="_Toc279701252"/>
      <w:r/>
      <w:bookmarkStart w:id="200" w:name="_Toc487900362"/>
      <w:r/>
      <w:bookmarkStart w:id="201" w:name="_Toc259093681"/>
      <w:r>
        <w:rPr>
          <w:rFonts w:hint="eastAsia" w:ascii="宋体" w:hAnsi="宋体" w:eastAsia="宋体" w:cs="宋体"/>
          <w:b/>
          <w:bCs/>
          <w:color w:val="auto"/>
          <w:sz w:val="24"/>
          <w:szCs w:val="24"/>
          <w:highlight w:val="none"/>
        </w:rPr>
        <w:t xml:space="preserve">2.6 质量保证</w:t>
      </w:r>
      <w:bookmarkEnd w:id="198"/>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2.6.1乙方应建立和完善履行合同的内部质量保证体系，并提供相关内部规章制度给甲方，以便甲方进行监督检查；</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2.6.2乙方应保证履行合同的人员数量和素质、软件和硬件设备的配置、场地、环境和设施等满足全面履行合同的要求，并应接受甲方的监督检查。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2.6.3其他</w:t>
      </w:r>
      <w:r>
        <w:rPr>
          <w:rFonts w:hint="eastAsia" w:ascii="宋体" w:hAnsi="宋体" w:eastAsia="宋体" w:cs="宋体"/>
          <w:color w:val="auto"/>
          <w:sz w:val="24"/>
          <w:szCs w:val="24"/>
          <w:highlight w:val="none"/>
        </w:rPr>
        <w:t xml:space="preserve">各项服务承诺指标及所采取的措施符合“投标文件”要求及投标响应承诺。</w:t>
      </w:r>
      <w:r/>
    </w:p>
    <w:p>
      <w:pPr>
        <w:spacing w:line="440" w:lineRule="exact"/>
        <w:rPr>
          <w:rFonts w:hint="eastAsia" w:ascii="宋体" w:hAnsi="宋体" w:eastAsia="宋体" w:cs="宋体"/>
          <w:b/>
          <w:bCs/>
          <w:color w:val="auto"/>
          <w:sz w:val="24"/>
          <w:szCs w:val="24"/>
          <w:highlight w:val="none"/>
        </w:rPr>
      </w:pPr>
      <w:r/>
      <w:bookmarkStart w:id="202" w:name="_Toc22267"/>
      <w:r>
        <w:rPr>
          <w:rFonts w:hint="eastAsia" w:ascii="宋体" w:hAnsi="宋体" w:eastAsia="宋体" w:cs="宋体"/>
          <w:b/>
          <w:bCs/>
          <w:color w:val="auto"/>
          <w:sz w:val="24"/>
          <w:szCs w:val="24"/>
          <w:highlight w:val="none"/>
        </w:rPr>
        <w:t xml:space="preserve">2.7 延迟</w:t>
      </w:r>
      <w:bookmarkEnd w:id="199"/>
      <w:r/>
      <w:bookmarkEnd w:id="200"/>
      <w:r/>
      <w:bookmarkEnd w:id="201"/>
      <w:r>
        <w:rPr>
          <w:rFonts w:hint="eastAsia" w:ascii="宋体" w:hAnsi="宋体" w:eastAsia="宋体" w:cs="宋体"/>
          <w:b/>
          <w:bCs/>
          <w:color w:val="auto"/>
          <w:sz w:val="24"/>
          <w:szCs w:val="24"/>
          <w:highlight w:val="none"/>
        </w:rPr>
        <w:t xml:space="preserve">履行</w:t>
      </w:r>
      <w:bookmarkEnd w:id="202"/>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spacing w:line="440" w:lineRule="exact"/>
        <w:rPr>
          <w:rFonts w:hint="eastAsia" w:ascii="宋体" w:hAnsi="宋体" w:eastAsia="宋体" w:cs="宋体"/>
          <w:b/>
          <w:bCs/>
          <w:color w:val="auto"/>
          <w:sz w:val="24"/>
          <w:szCs w:val="24"/>
          <w:highlight w:val="none"/>
        </w:rPr>
      </w:pPr>
      <w:r/>
      <w:bookmarkStart w:id="203" w:name="_Toc10611"/>
      <w:r/>
      <w:bookmarkStart w:id="204" w:name="_Ref467378121"/>
      <w:r/>
      <w:bookmarkStart w:id="205" w:name="_Toc487900364"/>
      <w:r/>
      <w:bookmarkStart w:id="206" w:name="_Toc279701254"/>
      <w:r/>
      <w:bookmarkStart w:id="207" w:name="_Toc259093683"/>
      <w:r>
        <w:rPr>
          <w:rFonts w:hint="eastAsia" w:ascii="宋体" w:hAnsi="宋体" w:eastAsia="宋体" w:cs="宋体"/>
          <w:b/>
          <w:bCs/>
          <w:color w:val="auto"/>
          <w:sz w:val="24"/>
          <w:szCs w:val="24"/>
          <w:highlight w:val="none"/>
        </w:rPr>
        <w:t xml:space="preserve">2.8 合同变更</w:t>
      </w:r>
      <w:bookmarkEnd w:id="203"/>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2.8.2合同继续履行将损害国家利益和社会公共利益的，甲方有权变更合同。有过错的一方应当承担赔偿责任，双方当事人都有过错的，各自承担相应的责任。</w:t>
      </w:r>
      <w:bookmarkStart w:id="208" w:name="_Toc487900369"/>
      <w:r/>
      <w:bookmarkStart w:id="209" w:name="_Toc259093688"/>
      <w:r/>
      <w:bookmarkStart w:id="210" w:name="_Toc279701259"/>
      <w:r/>
      <w:r/>
    </w:p>
    <w:p>
      <w:pPr>
        <w:spacing w:line="440" w:lineRule="exact"/>
        <w:rPr>
          <w:rFonts w:hint="eastAsia" w:ascii="宋体" w:hAnsi="宋体" w:eastAsia="宋体" w:cs="宋体"/>
          <w:b/>
          <w:bCs/>
          <w:color w:val="auto"/>
          <w:sz w:val="24"/>
          <w:szCs w:val="24"/>
          <w:highlight w:val="none"/>
        </w:rPr>
      </w:pPr>
      <w:r/>
      <w:bookmarkStart w:id="211" w:name="_Toc42"/>
      <w:r/>
      <w:bookmarkStart w:id="212" w:name="_Toc26689"/>
      <w:r/>
      <w:bookmarkStart w:id="213" w:name="_Toc10663"/>
      <w:r/>
      <w:bookmarkStart w:id="214" w:name="_Toc21830"/>
      <w:r/>
      <w:bookmarkStart w:id="215" w:name="_Toc23368"/>
      <w:r>
        <w:rPr>
          <w:rFonts w:hint="eastAsia" w:ascii="宋体" w:hAnsi="宋体" w:eastAsia="宋体" w:cs="宋体"/>
          <w:b/>
          <w:bCs/>
          <w:color w:val="auto"/>
          <w:sz w:val="24"/>
          <w:szCs w:val="24"/>
          <w:highlight w:val="none"/>
        </w:rPr>
        <w:t xml:space="preserve">2.9 合同转让</w:t>
      </w:r>
      <w:bookmarkEnd w:id="208"/>
      <w:r/>
      <w:bookmarkEnd w:id="209"/>
      <w:r/>
      <w:bookmarkEnd w:id="210"/>
      <w:r>
        <w:rPr>
          <w:rFonts w:hint="eastAsia" w:ascii="宋体" w:hAnsi="宋体" w:eastAsia="宋体" w:cs="宋体"/>
          <w:b/>
          <w:bCs/>
          <w:color w:val="auto"/>
          <w:sz w:val="24"/>
          <w:szCs w:val="24"/>
          <w:highlight w:val="none"/>
        </w:rPr>
        <w:t xml:space="preserve">和分包</w:t>
      </w:r>
      <w:bookmarkEnd w:id="211"/>
      <w:r/>
      <w:bookmarkEnd w:id="212"/>
      <w:r/>
      <w:bookmarkEnd w:id="213"/>
      <w:r/>
      <w:bookmarkEnd w:id="214"/>
      <w:r/>
      <w:bookmarkEnd w:id="215"/>
      <w:r/>
      <w:r/>
    </w:p>
    <w:p>
      <w:pPr>
        <w:ind w:firstLine="480"/>
        <w:spacing w:line="440" w:lineRule="exact"/>
        <w:rPr>
          <w:rFonts w:hint="eastAsia" w:ascii="宋体" w:hAnsi="宋体" w:eastAsia="宋体" w:cs="宋体"/>
          <w:bCs/>
          <w:color w:val="auto"/>
          <w:sz w:val="24"/>
          <w:szCs w:val="24"/>
          <w:highlight w:val="none"/>
        </w:rPr>
      </w:pPr>
      <w:r/>
      <w:bookmarkStart w:id="216" w:name="_Toc14371"/>
      <w:r/>
      <w:bookmarkStart w:id="217" w:name="_Toc26633"/>
      <w:r/>
      <w:bookmarkStart w:id="218" w:name="_Toc32494"/>
      <w:r/>
      <w:bookmarkStart w:id="219" w:name="_Toc4720"/>
      <w:r/>
      <w:bookmarkStart w:id="220" w:name="_Toc25571"/>
      <w:r>
        <w:rPr>
          <w:rFonts w:hint="eastAsia" w:ascii="宋体" w:hAnsi="宋体" w:eastAsia="宋体" w:cs="宋体"/>
          <w:bCs/>
          <w:color w:val="auto"/>
          <w:sz w:val="24"/>
          <w:szCs w:val="24"/>
          <w:highlight w:val="none"/>
        </w:rPr>
        <w:t xml:space="preserve">2.9.1本项目不得以任何形式进行转包及分包。</w:t>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2.10 不可抗力</w:t>
      </w:r>
      <w:bookmarkEnd w:id="216"/>
      <w:r/>
      <w:bookmarkEnd w:id="217"/>
      <w:r/>
      <w:bookmarkEnd w:id="218"/>
      <w:r/>
      <w:bookmarkEnd w:id="219"/>
      <w:r/>
      <w:bookmarkEnd w:id="220"/>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2.10.2因不可抗力致使不能实现合同目的的，当事人可以解除合同。</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2.10.3因不可抗力致使合同有变更必要的，双方当事人应在</w:t>
      </w:r>
      <w:r>
        <w:rPr>
          <w:rFonts w:hint="eastAsia" w:ascii="宋体" w:hAnsi="宋体" w:eastAsia="宋体" w:cs="宋体"/>
          <w:b/>
          <w:bCs/>
          <w:color w:val="auto"/>
          <w:sz w:val="24"/>
          <w:szCs w:val="24"/>
          <w:highlight w:val="none"/>
          <w:u w:val="single"/>
        </w:rPr>
        <w:t xml:space="preserve">7个工作日内</w:t>
      </w:r>
      <w:r>
        <w:rPr>
          <w:rFonts w:hint="eastAsia" w:ascii="宋体" w:hAnsi="宋体" w:eastAsia="宋体" w:cs="宋体"/>
          <w:bCs/>
          <w:color w:val="auto"/>
          <w:sz w:val="24"/>
          <w:szCs w:val="24"/>
          <w:highlight w:val="none"/>
        </w:rPr>
        <w:t xml:space="preserve">以书面形式变更合同。</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2.10.4受不可抗力影响的一方在不可抗力发生后，应在</w:t>
      </w:r>
      <w:r>
        <w:rPr>
          <w:rFonts w:hint="eastAsia" w:ascii="宋体" w:hAnsi="宋体" w:eastAsia="宋体" w:cs="宋体"/>
          <w:b/>
          <w:bCs/>
          <w:color w:val="auto"/>
          <w:sz w:val="24"/>
          <w:szCs w:val="24"/>
          <w:highlight w:val="none"/>
          <w:u w:val="single"/>
        </w:rPr>
        <w:t xml:space="preserve">7个工作日</w:t>
      </w:r>
      <w:r>
        <w:rPr>
          <w:rFonts w:hint="eastAsia" w:ascii="宋体" w:hAnsi="宋体" w:eastAsia="宋体" w:cs="宋体"/>
          <w:bCs/>
          <w:color w:val="auto"/>
          <w:sz w:val="24"/>
          <w:szCs w:val="24"/>
          <w:highlight w:val="none"/>
        </w:rPr>
        <w:t xml:space="preserve">内以书面形式通知对方当事人，并在</w:t>
      </w:r>
      <w:r>
        <w:rPr>
          <w:rFonts w:hint="eastAsia" w:ascii="宋体" w:hAnsi="宋体" w:eastAsia="宋体" w:cs="宋体"/>
          <w:b/>
          <w:bCs/>
          <w:color w:val="auto"/>
          <w:sz w:val="24"/>
          <w:szCs w:val="24"/>
          <w:highlight w:val="none"/>
          <w:u w:val="single"/>
        </w:rPr>
        <w:t xml:space="preserve">7个工作日</w:t>
      </w:r>
      <w:r>
        <w:rPr>
          <w:rFonts w:hint="eastAsia" w:ascii="宋体" w:hAnsi="宋体" w:eastAsia="宋体" w:cs="宋体"/>
          <w:bCs/>
          <w:color w:val="auto"/>
          <w:sz w:val="24"/>
          <w:szCs w:val="24"/>
          <w:highlight w:val="none"/>
        </w:rPr>
        <w:t xml:space="preserve">内，将有关部门出具的证明文件送达对方当事人。</w:t>
      </w:r>
      <w:r/>
    </w:p>
    <w:p>
      <w:pPr>
        <w:spacing w:line="440" w:lineRule="exact"/>
        <w:rPr>
          <w:rFonts w:hint="eastAsia" w:ascii="宋体" w:hAnsi="宋体" w:eastAsia="宋体" w:cs="宋体"/>
          <w:b/>
          <w:bCs/>
          <w:color w:val="auto"/>
          <w:sz w:val="24"/>
          <w:szCs w:val="24"/>
          <w:highlight w:val="none"/>
        </w:rPr>
      </w:pPr>
      <w:r/>
      <w:bookmarkStart w:id="221" w:name="_Toc279701255"/>
      <w:r/>
      <w:bookmarkStart w:id="222" w:name="_Toc24465"/>
      <w:r/>
      <w:bookmarkStart w:id="223" w:name="_Toc3638"/>
      <w:r/>
      <w:bookmarkStart w:id="224" w:name="_Toc25783"/>
      <w:r/>
      <w:bookmarkStart w:id="225" w:name="_Toc259093684"/>
      <w:r/>
      <w:bookmarkStart w:id="226" w:name="_Toc14115"/>
      <w:r/>
      <w:bookmarkStart w:id="227" w:name="_Toc487900365"/>
      <w:r/>
      <w:bookmarkStart w:id="228" w:name="_Toc23854"/>
      <w:r>
        <w:rPr>
          <w:rFonts w:hint="eastAsia" w:ascii="宋体" w:hAnsi="宋体" w:eastAsia="宋体" w:cs="宋体"/>
          <w:b/>
          <w:bCs/>
          <w:color w:val="auto"/>
          <w:sz w:val="24"/>
          <w:szCs w:val="24"/>
          <w:highlight w:val="none"/>
        </w:rPr>
        <w:t xml:space="preserve">2.11 税费</w:t>
      </w:r>
      <w:bookmarkEnd w:id="221"/>
      <w:r/>
      <w:bookmarkEnd w:id="222"/>
      <w:r/>
      <w:bookmarkEnd w:id="223"/>
      <w:r/>
      <w:bookmarkEnd w:id="224"/>
      <w:r/>
      <w:bookmarkEnd w:id="225"/>
      <w:r/>
      <w:bookmarkEnd w:id="226"/>
      <w:r/>
      <w:bookmarkEnd w:id="227"/>
      <w:r/>
      <w:bookmarkEnd w:id="228"/>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与合同有关的一切税费，均按照中华人民共和国法律的相关规定缴纳。</w:t>
      </w:r>
      <w:r/>
    </w:p>
    <w:p>
      <w:pPr>
        <w:spacing w:line="440" w:lineRule="exact"/>
        <w:rPr>
          <w:rFonts w:hint="eastAsia" w:ascii="宋体" w:hAnsi="宋体" w:eastAsia="宋体" w:cs="宋体"/>
          <w:b/>
          <w:bCs/>
          <w:color w:val="auto"/>
          <w:sz w:val="24"/>
          <w:szCs w:val="24"/>
          <w:highlight w:val="none"/>
        </w:rPr>
      </w:pPr>
      <w:r/>
      <w:bookmarkStart w:id="229" w:name="_Toc487900368"/>
      <w:r/>
      <w:bookmarkStart w:id="230" w:name="_Toc7315"/>
      <w:r/>
      <w:bookmarkStart w:id="231" w:name="_Toc259093687"/>
      <w:r/>
      <w:bookmarkStart w:id="232" w:name="_Toc25525"/>
      <w:r/>
      <w:bookmarkStart w:id="233" w:name="_Toc14814"/>
      <w:r/>
      <w:bookmarkStart w:id="234" w:name="_Toc279701258"/>
      <w:r/>
      <w:bookmarkStart w:id="235" w:name="_Toc30105"/>
      <w:r/>
      <w:bookmarkStart w:id="236" w:name="_Toc26883"/>
      <w:r>
        <w:rPr>
          <w:rFonts w:hint="eastAsia" w:ascii="宋体" w:hAnsi="宋体" w:eastAsia="宋体" w:cs="宋体"/>
          <w:b/>
          <w:bCs/>
          <w:color w:val="auto"/>
          <w:sz w:val="24"/>
          <w:szCs w:val="24"/>
          <w:highlight w:val="none"/>
        </w:rPr>
        <w:t xml:space="preserve">2.12 乙方破产</w:t>
      </w:r>
      <w:bookmarkEnd w:id="229"/>
      <w:r/>
      <w:bookmarkEnd w:id="230"/>
      <w:r/>
      <w:bookmarkEnd w:id="231"/>
      <w:r/>
      <w:bookmarkEnd w:id="232"/>
      <w:r/>
      <w:bookmarkEnd w:id="233"/>
      <w:r/>
      <w:bookmarkEnd w:id="234"/>
      <w:r/>
      <w:bookmarkEnd w:id="235"/>
      <w:r/>
      <w:bookmarkEnd w:id="236"/>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spacing w:line="440" w:lineRule="exact"/>
        <w:rPr>
          <w:rFonts w:hint="eastAsia" w:ascii="宋体" w:hAnsi="宋体" w:eastAsia="宋体" w:cs="宋体"/>
          <w:b/>
          <w:bCs/>
          <w:color w:val="auto"/>
          <w:sz w:val="24"/>
          <w:szCs w:val="24"/>
          <w:highlight w:val="none"/>
        </w:rPr>
      </w:pPr>
      <w:r/>
      <w:bookmarkStart w:id="237" w:name="_Toc1123"/>
      <w:r/>
      <w:bookmarkStart w:id="238" w:name="_Toc23323"/>
      <w:r/>
      <w:bookmarkStart w:id="239" w:name="_Toc2016"/>
      <w:r>
        <w:rPr>
          <w:rFonts w:hint="eastAsia" w:ascii="宋体" w:hAnsi="宋体" w:eastAsia="宋体" w:cs="宋体"/>
          <w:b/>
          <w:bCs/>
          <w:color w:val="auto"/>
          <w:sz w:val="24"/>
          <w:szCs w:val="24"/>
          <w:highlight w:val="none"/>
        </w:rPr>
        <w:t xml:space="preserve">2.13 合同中止、终止</w:t>
      </w:r>
      <w:bookmarkEnd w:id="237"/>
      <w:r/>
      <w:bookmarkEnd w:id="238"/>
      <w:r/>
      <w:bookmarkEnd w:id="239"/>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2.13.1双方当事人不得擅自中止或者终止合同。</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2.13.2合同继续履行将损害国家利益和社会公共利益的，甲方有权中止或者终止、解除合同。有过错的一方应当承担赔偿责任，双方当事人都有过错的，各自承担相应的责任。</w:t>
      </w:r>
      <w:bookmarkEnd w:id="204"/>
      <w:r/>
      <w:bookmarkEnd w:id="205"/>
      <w:r/>
      <w:bookmarkEnd w:id="206"/>
      <w:r/>
      <w:bookmarkEnd w:id="207"/>
      <w:r/>
      <w:r/>
    </w:p>
    <w:p>
      <w:pPr>
        <w:spacing w:line="440" w:lineRule="exact"/>
        <w:rPr>
          <w:rFonts w:hint="eastAsia" w:ascii="宋体" w:hAnsi="宋体" w:eastAsia="宋体" w:cs="宋体"/>
          <w:b/>
          <w:bCs/>
          <w:color w:val="auto"/>
          <w:sz w:val="24"/>
          <w:szCs w:val="24"/>
          <w:highlight w:val="none"/>
        </w:rPr>
      </w:pPr>
      <w:r/>
      <w:bookmarkStart w:id="240" w:name="_Toc487900371"/>
      <w:r/>
      <w:bookmarkStart w:id="241" w:name="_Toc259093690"/>
      <w:r/>
      <w:bookmarkStart w:id="242" w:name="_Toc279701261"/>
      <w:r/>
      <w:bookmarkStart w:id="243" w:name="_Toc9808"/>
      <w:r/>
      <w:bookmarkStart w:id="244" w:name="_Toc31892"/>
      <w:r/>
      <w:bookmarkStart w:id="245" w:name="_Toc2308"/>
      <w:r/>
      <w:bookmarkStart w:id="246" w:name="_Toc25198"/>
      <w:r/>
      <w:bookmarkStart w:id="247" w:name="_Toc12666"/>
      <w:r>
        <w:rPr>
          <w:rFonts w:hint="eastAsia" w:ascii="宋体" w:hAnsi="宋体" w:eastAsia="宋体" w:cs="宋体"/>
          <w:b/>
          <w:bCs/>
          <w:color w:val="auto"/>
          <w:sz w:val="24"/>
          <w:szCs w:val="24"/>
          <w:highlight w:val="none"/>
        </w:rPr>
        <w:t xml:space="preserve">2.14 通知</w:t>
      </w:r>
      <w:bookmarkEnd w:id="240"/>
      <w:r/>
      <w:bookmarkEnd w:id="241"/>
      <w:r/>
      <w:bookmarkEnd w:id="242"/>
      <w:r>
        <w:rPr>
          <w:rFonts w:hint="eastAsia" w:ascii="宋体" w:hAnsi="宋体" w:eastAsia="宋体" w:cs="宋体"/>
          <w:b/>
          <w:bCs/>
          <w:color w:val="auto"/>
          <w:sz w:val="24"/>
          <w:szCs w:val="24"/>
          <w:highlight w:val="none"/>
        </w:rPr>
        <w:t xml:space="preserve">和送达</w:t>
      </w:r>
      <w:bookmarkEnd w:id="243"/>
      <w:r/>
      <w:bookmarkEnd w:id="244"/>
      <w:r/>
      <w:bookmarkEnd w:id="245"/>
      <w:r/>
      <w:bookmarkEnd w:id="246"/>
      <w:r/>
      <w:bookmarkEnd w:id="247"/>
      <w:r/>
      <w:r/>
    </w:p>
    <w:p>
      <w:pPr>
        <w:ind w:firstLine="480"/>
        <w:spacing w:line="440" w:lineRule="exact"/>
        <w:rPr>
          <w:rFonts w:hint="eastAsia" w:ascii="宋体" w:hAnsi="宋体" w:eastAsia="宋体" w:cs="宋体"/>
          <w:bCs/>
          <w:color w:val="auto"/>
          <w:sz w:val="24"/>
          <w:szCs w:val="24"/>
          <w:highlight w:val="none"/>
        </w:rPr>
      </w:pPr>
      <w:r/>
      <w:bookmarkStart w:id="248" w:name="_Toc29220"/>
      <w:r/>
      <w:bookmarkStart w:id="249" w:name="_Toc7073"/>
      <w:r/>
      <w:bookmarkStart w:id="250" w:name="_Toc279701262"/>
      <w:r/>
      <w:bookmarkStart w:id="251" w:name="_Toc487900372"/>
      <w:r/>
      <w:bookmarkStart w:id="252" w:name="_Toc259093691"/>
      <w:r>
        <w:rPr>
          <w:rFonts w:hint="eastAsia" w:ascii="宋体" w:hAnsi="宋体" w:eastAsia="宋体" w:cs="宋体"/>
          <w:bCs/>
          <w:color w:val="auto"/>
          <w:sz w:val="24"/>
          <w:szCs w:val="24"/>
          <w:highlight w:val="none"/>
        </w:rPr>
        <w:t xml:space="preserve">2.14.1任何一方因履行合同而以合同第一部分尾部所列明的</w:t>
      </w:r>
      <w:r>
        <w:rPr>
          <w:rFonts w:hint="eastAsia" w:ascii="宋体" w:hAnsi="宋体" w:eastAsia="宋体" w:cs="宋体"/>
          <w:b/>
          <w:bCs/>
          <w:color w:val="auto"/>
          <w:sz w:val="24"/>
          <w:szCs w:val="24"/>
          <w:highlight w:val="none"/>
          <w:u w:val="single"/>
        </w:rPr>
        <w:t xml:space="preserve">内容</w:t>
      </w:r>
      <w:r>
        <w:rPr>
          <w:rFonts w:hint="eastAsia" w:ascii="宋体" w:hAnsi="宋体" w:eastAsia="宋体" w:cs="宋体"/>
          <w:bCs/>
          <w:color w:val="auto"/>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b/>
          <w:bCs/>
          <w:color w:val="auto"/>
          <w:sz w:val="24"/>
          <w:szCs w:val="24"/>
          <w:highlight w:val="none"/>
          <w:u w:val="single"/>
        </w:rPr>
        <w:t xml:space="preserve">5个工作日</w:t>
      </w:r>
      <w:r>
        <w:rPr>
          <w:rFonts w:hint="eastAsia" w:ascii="宋体" w:hAnsi="宋体" w:eastAsia="宋体" w:cs="宋体"/>
          <w:bCs/>
          <w:color w:val="auto"/>
          <w:sz w:val="24"/>
          <w:szCs w:val="24"/>
          <w:highlight w:val="none"/>
        </w:rPr>
        <w:t xml:space="preserve">内书面通知对方当事人，在对方当事人收到有关变更通知之前，变更前的约定送达方式或者地址仍视为有效。</w:t>
      </w:r>
      <w:bookmarkEnd w:id="248"/>
      <w:r/>
      <w:bookmarkEnd w:id="249"/>
      <w:r/>
      <w:r/>
    </w:p>
    <w:p>
      <w:pPr>
        <w:ind w:firstLine="480"/>
        <w:spacing w:line="440" w:lineRule="exact"/>
        <w:rPr>
          <w:rFonts w:hint="eastAsia" w:ascii="宋体" w:hAnsi="宋体" w:eastAsia="宋体" w:cs="宋体"/>
          <w:bCs/>
          <w:color w:val="auto"/>
          <w:sz w:val="24"/>
          <w:szCs w:val="24"/>
          <w:highlight w:val="none"/>
        </w:rPr>
      </w:pPr>
      <w:r/>
      <w:bookmarkStart w:id="253" w:name="_Toc27674"/>
      <w:r/>
      <w:bookmarkStart w:id="254" w:name="_Toc18401"/>
      <w:r>
        <w:rPr>
          <w:rFonts w:hint="eastAsia" w:ascii="宋体" w:hAnsi="宋体" w:eastAsia="宋体" w:cs="宋体"/>
          <w:bCs/>
          <w:color w:val="auto"/>
          <w:sz w:val="24"/>
          <w:szCs w:val="24"/>
          <w:highlight w:val="none"/>
        </w:rPr>
        <w:t xml:space="preserve">2.14.2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3"/>
      <w:r/>
      <w:bookmarkEnd w:id="254"/>
      <w:r/>
      <w:bookmarkEnd w:id="250"/>
      <w:r/>
      <w:bookmarkEnd w:id="251"/>
      <w:r/>
      <w:bookmarkEnd w:id="252"/>
      <w:r/>
      <w:r/>
    </w:p>
    <w:p>
      <w:pPr>
        <w:spacing w:line="440" w:lineRule="exact"/>
        <w:rPr>
          <w:rFonts w:hint="eastAsia" w:ascii="宋体" w:hAnsi="宋体" w:eastAsia="宋体" w:cs="宋体"/>
          <w:b/>
          <w:bCs/>
          <w:color w:val="auto"/>
          <w:sz w:val="24"/>
          <w:szCs w:val="24"/>
          <w:highlight w:val="none"/>
        </w:rPr>
      </w:pPr>
      <w:r/>
      <w:bookmarkStart w:id="255" w:name="_Toc259093692"/>
      <w:r/>
      <w:bookmarkStart w:id="256" w:name="_Toc27644"/>
      <w:r/>
      <w:bookmarkStart w:id="257" w:name="_Toc279701263"/>
      <w:r/>
      <w:bookmarkStart w:id="258" w:name="_Toc12254"/>
      <w:r/>
      <w:bookmarkStart w:id="259" w:name="_Toc5063"/>
      <w:r/>
      <w:bookmarkStart w:id="260" w:name="_Toc28906"/>
      <w:r/>
      <w:bookmarkStart w:id="261" w:name="_Toc487900373"/>
      <w:r/>
      <w:bookmarkStart w:id="262" w:name="_Toc20808"/>
      <w:r>
        <w:rPr>
          <w:rFonts w:hint="eastAsia" w:ascii="宋体" w:hAnsi="宋体" w:eastAsia="宋体" w:cs="宋体"/>
          <w:b/>
          <w:bCs/>
          <w:color w:val="auto"/>
          <w:sz w:val="24"/>
          <w:szCs w:val="24"/>
          <w:highlight w:val="none"/>
        </w:rPr>
        <w:t xml:space="preserve">2.15 合同使用的文字和适用的法律</w:t>
      </w:r>
      <w:bookmarkEnd w:id="255"/>
      <w:r/>
      <w:bookmarkEnd w:id="256"/>
      <w:r/>
      <w:bookmarkEnd w:id="257"/>
      <w:r/>
      <w:bookmarkEnd w:id="258"/>
      <w:r/>
      <w:bookmarkEnd w:id="259"/>
      <w:r/>
      <w:bookmarkEnd w:id="260"/>
      <w:r/>
      <w:bookmarkEnd w:id="261"/>
      <w:r/>
      <w:bookmarkEnd w:id="262"/>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2.15.1合同使用汉语书就、变更和解释。</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2.15.2合同适用中华人民共和国法律。</w:t>
      </w:r>
      <w:r/>
    </w:p>
    <w:p>
      <w:pPr>
        <w:spacing w:line="440" w:lineRule="exact"/>
        <w:rPr>
          <w:rFonts w:hint="eastAsia" w:ascii="宋体" w:hAnsi="宋体" w:eastAsia="宋体" w:cs="宋体"/>
          <w:bCs/>
          <w:color w:val="auto"/>
          <w:sz w:val="24"/>
          <w:szCs w:val="24"/>
          <w:highlight w:val="none"/>
        </w:rPr>
      </w:pPr>
      <w:r/>
      <w:bookmarkStart w:id="263" w:name="_Toc27127"/>
      <w:r/>
      <w:bookmarkStart w:id="264" w:name="_Toc22266"/>
      <w:r/>
      <w:bookmarkStart w:id="265" w:name="_Toc259093693"/>
      <w:r/>
      <w:bookmarkStart w:id="266" w:name="_Toc27403"/>
      <w:r/>
      <w:bookmarkStart w:id="267" w:name="_Toc487900374"/>
      <w:r/>
      <w:bookmarkStart w:id="268" w:name="_Toc30096"/>
      <w:r/>
      <w:bookmarkStart w:id="269" w:name="_Toc279701264"/>
      <w:r/>
      <w:bookmarkStart w:id="270" w:name="_Toc1492"/>
      <w:r>
        <w:rPr>
          <w:rFonts w:hint="eastAsia" w:ascii="宋体" w:hAnsi="宋体" w:eastAsia="宋体" w:cs="宋体"/>
          <w:b/>
          <w:bCs/>
          <w:color w:val="auto"/>
          <w:sz w:val="24"/>
          <w:szCs w:val="24"/>
          <w:highlight w:val="none"/>
        </w:rPr>
        <w:t xml:space="preserve">2.16 履约保证金</w:t>
      </w:r>
      <w:bookmarkEnd w:id="263"/>
      <w:r/>
      <w:bookmarkEnd w:id="264"/>
      <w:r/>
      <w:bookmarkEnd w:id="265"/>
      <w:r/>
      <w:bookmarkEnd w:id="266"/>
      <w:r/>
      <w:bookmarkEnd w:id="267"/>
      <w:r/>
      <w:bookmarkEnd w:id="268"/>
      <w:r/>
      <w:bookmarkEnd w:id="269"/>
      <w:r/>
      <w:bookmarkEnd w:id="270"/>
      <w:r/>
      <w:bookmarkStart w:id="271" w:name="_Toc331685784"/>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2.16.1乙方需在合同签订后一个月内向甲方提交成交合同金额的10%作为履约保证金。</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2.16.2履约担保形式：第三方机构出具的电子履约保函（保险）或银行保函。</w:t>
      </w:r>
      <w:r/>
    </w:p>
    <w:p>
      <w:pPr>
        <w:jc w:val="center"/>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第三部分  合同专用条款</w:t>
      </w:r>
      <w:bookmarkEnd w:id="271"/>
      <w:r/>
      <w:r/>
    </w:p>
    <w:p>
      <w:pPr>
        <w:ind w:firstLine="48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1018"/>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8505"/>
      </w:tblGrid>
      <w:tr>
        <w:trPr>
          <w:trHeight w:val="567"/>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条款号</w:t>
            </w:r>
            <w:r/>
          </w:p>
        </w:tc>
        <w:tc>
          <w:tcPr>
            <w:tcW w:w="8505" w:type="dxa"/>
            <w:vAlign w:val="center"/>
            <w:textDirection w:val="lrTb"/>
            <w:noWrap w:val="false"/>
          </w:tcPr>
          <w:p>
            <w:pPr>
              <w:jc w:val="center"/>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约定内容</w:t>
            </w:r>
            <w:r/>
          </w:p>
        </w:tc>
      </w:tr>
      <w:tr>
        <w:trPr>
          <w:trHeight w:val="352"/>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50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2"/>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505" w:type="dxa"/>
            <w:vAlign w:val="center"/>
            <w:textDirection w:val="lrTb"/>
            <w:noWrap w:val="false"/>
          </w:tcPr>
          <w:p>
            <w:pPr>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甲方（盖章）：                         乙方（盖章）：</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法定代表人（签名）：                   法定代表人（签名）：</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或委托代理人（签名）：                 或委托代理人（签名）：</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联系人：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 联系人：</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地址：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地址：</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电话：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电话：</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传真：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传真：</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开户银行：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开户银行：</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银行账号：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银行账号：</w:t>
      </w:r>
      <w:r/>
    </w:p>
    <w:p>
      <w:pPr>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zh-CN"/>
        </w:rPr>
        <w:t xml:space="preserve">社会统一信用代码: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社会统一信用代码：</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08"/>
        <w:rPr>
          <w:rFonts w:hint="eastAsia" w:ascii="宋体" w:hAnsi="宋体" w:eastAsia="宋体" w:cs="宋体"/>
          <w:color w:val="auto"/>
          <w:highlight w:val="none"/>
        </w:rPr>
      </w:pPr>
      <w:r/>
      <w:bookmarkStart w:id="272" w:name="_Toc16412"/>
      <w:r>
        <w:rPr>
          <w:rFonts w:hint="eastAsia" w:ascii="宋体" w:hAnsi="宋体" w:eastAsia="宋体" w:cs="宋体"/>
          <w:color w:val="auto"/>
          <w:highlight w:val="none"/>
        </w:rPr>
        <w:t xml:space="preserve">第四章 采购需求</w:t>
      </w:r>
      <w:bookmarkEnd w:id="102"/>
      <w:r/>
      <w:bookmarkEnd w:id="103"/>
      <w:r/>
      <w:bookmarkEnd w:id="104"/>
      <w:r/>
      <w:bookmarkEnd w:id="272"/>
      <w:r/>
      <w:r/>
    </w:p>
    <w:p>
      <w:pPr>
        <w:spacing w:line="440" w:lineRule="exact"/>
        <w:rPr>
          <w:rFonts w:hint="eastAsia" w:ascii="宋体" w:hAnsi="宋体" w:eastAsia="宋体" w:cs="宋体"/>
          <w:b/>
          <w:bCs/>
          <w:color w:val="auto"/>
          <w:sz w:val="28"/>
          <w:highlight w:val="none"/>
          <w:lang w:eastAsia="zh-CN"/>
        </w:rPr>
      </w:pPr>
      <w:r/>
      <w:bookmarkStart w:id="273" w:name="_Toc158691776"/>
      <w:r/>
      <w:bookmarkStart w:id="274" w:name="_Toc315868060"/>
      <w:r/>
      <w:bookmarkStart w:id="275" w:name="_Toc315875323"/>
      <w:r>
        <w:rPr>
          <w:rFonts w:hint="eastAsia" w:ascii="宋体" w:hAnsi="宋体" w:eastAsia="宋体" w:cs="宋体"/>
          <w:b/>
          <w:bCs/>
          <w:color w:val="auto"/>
          <w:sz w:val="28"/>
          <w:highlight w:val="none"/>
        </w:rPr>
        <w:t xml:space="preserve">项目名称：</w:t>
      </w:r>
      <w:r>
        <w:rPr>
          <w:rFonts w:hint="eastAsia" w:ascii="宋体" w:hAnsi="宋体" w:eastAsia="宋体" w:cs="宋体"/>
          <w:b/>
          <w:color w:val="auto"/>
          <w:sz w:val="28"/>
          <w:szCs w:val="28"/>
          <w:highlight w:val="none"/>
          <w:lang w:eastAsia="zh-CN"/>
        </w:rPr>
        <w:t xml:space="preserve">2026-2027年度成片开发及土地报批服务</w:t>
      </w:r>
      <w:r/>
    </w:p>
    <w:p>
      <w:pPr>
        <w:spacing w:line="440" w:lineRule="exact"/>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 xml:space="preserve">项目编号：</w:t>
      </w:r>
      <w:r>
        <w:rPr>
          <w:rFonts w:hint="eastAsia" w:ascii="宋体" w:hAnsi="宋体" w:eastAsia="宋体" w:cs="宋体"/>
          <w:b/>
          <w:bCs/>
          <w:color w:val="auto"/>
          <w:sz w:val="28"/>
          <w:highlight w:val="none"/>
          <w:lang w:eastAsia="zh-CN"/>
        </w:rPr>
        <w:t xml:space="preserve">JSZC-320581-HXGW-G2025-0074</w:t>
      </w:r>
      <w:r/>
    </w:p>
    <w:p>
      <w:pPr>
        <w:spacing w:line="440" w:lineRule="exact"/>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 xml:space="preserve">采购人：</w:t>
      </w:r>
      <w:r>
        <w:rPr>
          <w:rFonts w:hint="eastAsia" w:ascii="宋体" w:hAnsi="宋体" w:eastAsia="宋体" w:cs="宋体"/>
          <w:b/>
          <w:bCs/>
          <w:color w:val="auto"/>
          <w:sz w:val="28"/>
          <w:highlight w:val="none"/>
          <w:lang w:eastAsia="zh-CN"/>
        </w:rPr>
        <w:t xml:space="preserve">常熟高新技术产业开发区管理委员会</w:t>
      </w:r>
      <w:r/>
    </w:p>
    <w:p>
      <w:pPr>
        <w:spacing w:line="460" w:lineRule="exact"/>
        <w:rPr>
          <w:rFonts w:hint="eastAsia" w:ascii="宋体" w:hAnsi="宋体" w:eastAsia="宋体" w:cs="宋体"/>
          <w:b/>
          <w:bCs/>
          <w:color w:val="auto"/>
          <w:sz w:val="28"/>
          <w:szCs w:val="28"/>
          <w:highlight w:val="none"/>
          <w:lang w:val="zh-CN" w:eastAsia="zh-CN"/>
        </w:rPr>
        <w:outlineLvl w:val="1"/>
      </w:pPr>
      <w:r/>
      <w:bookmarkStart w:id="276" w:name="_Toc19571"/>
      <w:r/>
      <w:bookmarkStart w:id="277" w:name="_Toc20119"/>
      <w:r>
        <w:rPr>
          <w:rFonts w:hint="eastAsia" w:ascii="宋体" w:hAnsi="宋体" w:eastAsia="宋体" w:cs="宋体"/>
          <w:b/>
          <w:bCs/>
          <w:color w:val="auto"/>
          <w:sz w:val="28"/>
          <w:szCs w:val="28"/>
          <w:highlight w:val="none"/>
          <w:lang w:val="zh-CN" w:eastAsia="zh-CN"/>
        </w:rPr>
        <w:t xml:space="preserve">一、项目说明：</w:t>
      </w:r>
      <w:bookmarkEnd w:id="276"/>
      <w:r/>
      <w:bookmarkEnd w:id="277"/>
      <w:r/>
      <w:r/>
    </w:p>
    <w:p>
      <w:pPr>
        <w:ind w:firstLine="240"/>
        <w:spacing w:line="440" w:lineRule="exact"/>
        <w:rPr>
          <w:rFonts w:hint="eastAsia" w:ascii="宋体" w:hAnsi="宋体" w:eastAsia="宋体" w:cs="宋体"/>
          <w:color w:val="auto"/>
          <w:sz w:val="24"/>
          <w:szCs w:val="24"/>
          <w:highlight w:val="none"/>
          <w:lang w:val="zh-CN"/>
        </w:rPr>
      </w:pPr>
      <w:r/>
      <w:bookmarkStart w:id="278" w:name="_Toc89524316"/>
      <w:r>
        <w:rPr>
          <w:rFonts w:hint="eastAsia" w:ascii="宋体" w:hAnsi="宋体" w:eastAsia="宋体" w:cs="宋体"/>
          <w:color w:val="auto"/>
          <w:sz w:val="24"/>
          <w:szCs w:val="24"/>
          <w:highlight w:val="none"/>
          <w:lang w:val="zh-CN"/>
        </w:rPr>
        <w:t xml:space="preserve">1、项目概况：常熟高新技术产业开发区管理委员会所需的2026-2027年度成片开发及土地报批服务，主要内容包括土地征收成片开发方案编制，土地征收成片开发方案调整（一般调整、简易调整），增减挂钩实施方案报批（土地转用、征收），独立选址项目用地报批，城镇建设用地报批（土地转用、征收）。</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投标人应对项目现场进行踏勘，但费用由投标人自行承担。现场踏勘联系人：</w:t>
      </w:r>
      <w:r>
        <w:rPr>
          <w:rFonts w:hint="eastAsia" w:ascii="宋体" w:hAnsi="宋体" w:eastAsia="宋体" w:cs="宋体"/>
          <w:color w:val="auto"/>
          <w:sz w:val="24"/>
          <w:szCs w:val="24"/>
          <w:highlight w:val="none"/>
          <w:lang w:eastAsia="zh-CN"/>
        </w:rPr>
        <w:t xml:space="preserve">钱祎丹</w:t>
      </w:r>
      <w:r>
        <w:rPr>
          <w:rFonts w:hint="eastAsia" w:ascii="宋体" w:hAnsi="宋体" w:eastAsia="宋体" w:cs="宋体"/>
          <w:color w:val="auto"/>
          <w:sz w:val="24"/>
          <w:szCs w:val="24"/>
          <w:highlight w:val="none"/>
        </w:rPr>
        <w:t xml:space="preserve">，联系电话：0512-52579929。投标人在投标时应充分考虑现场实际情况，采购人不负担因投标人对项目现场情况考虑不周而产生的其他任何费用。</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、服务地点：</w:t>
      </w:r>
      <w:r>
        <w:rPr>
          <w:rFonts w:hint="eastAsia" w:ascii="宋体" w:hAnsi="宋体" w:eastAsia="宋体" w:cs="宋体"/>
          <w:color w:val="auto"/>
          <w:sz w:val="24"/>
          <w:szCs w:val="24"/>
          <w:highlight w:val="none"/>
        </w:rPr>
        <w:t xml:space="preserve">常熟市高新区范围内</w:t>
      </w:r>
      <w:r>
        <w:rPr>
          <w:rFonts w:hint="eastAsia" w:ascii="宋体" w:hAnsi="宋体" w:eastAsia="宋体" w:cs="宋体"/>
          <w:color w:val="auto"/>
          <w:sz w:val="24"/>
          <w:szCs w:val="24"/>
          <w:highlight w:val="none"/>
          <w:lang w:val="zh-CN"/>
        </w:rPr>
        <w:t xml:space="preserve">。</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4、服务期限：</w:t>
      </w:r>
      <w:r>
        <w:rPr>
          <w:rFonts w:hint="eastAsia" w:ascii="宋体" w:hAnsi="宋体" w:eastAsia="宋体" w:cs="宋体"/>
          <w:color w:val="auto"/>
          <w:sz w:val="24"/>
          <w:szCs w:val="24"/>
          <w:highlight w:val="none"/>
          <w:lang w:eastAsia="zh-CN"/>
        </w:rPr>
        <w:t xml:space="preserve">自签订合同之日起至2027年12月31日</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、付款方式：</w:t>
      </w:r>
      <w:r>
        <w:rPr>
          <w:rFonts w:hint="eastAsia" w:ascii="宋体" w:hAnsi="宋体" w:eastAsia="宋体" w:cs="宋体"/>
          <w:b/>
          <w:bCs/>
          <w:color w:val="auto"/>
          <w:sz w:val="24"/>
          <w:szCs w:val="24"/>
          <w:highlight w:val="none"/>
          <w:lang w:val="zh-CN"/>
        </w:rPr>
        <w:t xml:space="preserve">服务期内每项服务内容单价以本次中标单价为准。</w:t>
      </w:r>
      <w:r/>
    </w:p>
    <w:p>
      <w:pPr>
        <w:ind w:firstLine="60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①单个项目按该项目完成进度支付相应服务费用。</w:t>
      </w:r>
      <w:r/>
    </w:p>
    <w:p>
      <w:pPr>
        <w:ind w:firstLine="60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②成片开发类：</w:t>
      </w:r>
      <w:r>
        <w:rPr>
          <w:rFonts w:hint="eastAsia" w:ascii="宋体" w:hAnsi="宋体" w:eastAsia="宋体" w:cs="宋体"/>
          <w:bCs/>
          <w:color w:val="auto"/>
          <w:sz w:val="24"/>
          <w:highlight w:val="none"/>
          <w:lang w:eastAsia="zh-CN"/>
        </w:rPr>
        <w:t xml:space="preserve">合同</w:t>
      </w:r>
      <w:r>
        <w:rPr>
          <w:rFonts w:hint="eastAsia" w:ascii="宋体" w:hAnsi="宋体" w:eastAsia="宋体" w:cs="宋体"/>
          <w:bCs/>
          <w:color w:val="auto"/>
          <w:sz w:val="24"/>
          <w:highlight w:val="none"/>
        </w:rPr>
        <w:t xml:space="preserve">签订后支付项目服务费的</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0%作为预付款；获得批复后支付至项目服务费用的100%。</w:t>
      </w:r>
      <w:r/>
    </w:p>
    <w:p>
      <w:pPr>
        <w:ind w:firstLine="60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③</w:t>
      </w:r>
      <w:r>
        <w:rPr>
          <w:rFonts w:hint="eastAsia" w:ascii="宋体" w:hAnsi="宋体" w:eastAsia="宋体" w:cs="宋体"/>
          <w:bCs/>
          <w:color w:val="auto"/>
          <w:sz w:val="24"/>
          <w:highlight w:val="none"/>
        </w:rPr>
        <w:t xml:space="preserve">实施方案类：</w:t>
      </w:r>
      <w:r>
        <w:rPr>
          <w:rFonts w:hint="eastAsia" w:ascii="宋体" w:hAnsi="宋体" w:eastAsia="宋体" w:cs="宋体"/>
          <w:bCs/>
          <w:color w:val="auto"/>
          <w:sz w:val="24"/>
          <w:highlight w:val="none"/>
          <w:lang w:eastAsia="zh-CN"/>
        </w:rPr>
        <w:t xml:space="preserve">合同</w:t>
      </w:r>
      <w:r>
        <w:rPr>
          <w:rFonts w:hint="eastAsia" w:ascii="宋体" w:hAnsi="宋体" w:eastAsia="宋体" w:cs="宋体"/>
          <w:bCs/>
          <w:color w:val="auto"/>
          <w:sz w:val="24"/>
          <w:highlight w:val="none"/>
        </w:rPr>
        <w:t xml:space="preserve">签订后支付项目服务费的</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0%作为预付款；获得批复后支付至项目服务费用的100%。</w:t>
      </w:r>
      <w:r/>
    </w:p>
    <w:p>
      <w:pPr>
        <w:ind w:firstLine="600"/>
        <w:spacing w:line="4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④</w:t>
      </w:r>
      <w:r>
        <w:rPr>
          <w:rFonts w:hint="eastAsia" w:ascii="宋体" w:hAnsi="宋体" w:eastAsia="宋体" w:cs="宋体"/>
          <w:bCs/>
          <w:color w:val="auto"/>
          <w:sz w:val="24"/>
          <w:highlight w:val="none"/>
        </w:rPr>
        <w:t xml:space="preserve">用地报批类</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合同</w:t>
      </w:r>
      <w:r>
        <w:rPr>
          <w:rFonts w:hint="eastAsia" w:ascii="宋体" w:hAnsi="宋体" w:eastAsia="宋体" w:cs="宋体"/>
          <w:bCs/>
          <w:color w:val="auto"/>
          <w:sz w:val="24"/>
          <w:highlight w:val="none"/>
        </w:rPr>
        <w:t xml:space="preserve">签订后支付项目服务费的</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0%作为预付款；获得批复后支付至项目服务费用的100%。</w:t>
      </w:r>
      <w:r/>
    </w:p>
    <w:p>
      <w:pPr>
        <w:ind w:firstLine="24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注：（1）签订合同时，中标人明确表示无需预付款或者主动要求降低预付款比例的，采购人可不适用上述</w:t>
      </w:r>
      <w:r>
        <w:rPr>
          <w:rFonts w:hint="eastAsia" w:ascii="宋体" w:hAnsi="宋体" w:eastAsia="宋体" w:cs="宋体"/>
          <w:b/>
          <w:color w:val="auto"/>
          <w:sz w:val="24"/>
          <w:szCs w:val="24"/>
          <w:highlight w:val="none"/>
          <w:lang w:val="en-US" w:eastAsia="zh-CN"/>
        </w:rPr>
        <w:t xml:space="preserve">预付款</w:t>
      </w:r>
      <w:r>
        <w:rPr>
          <w:rFonts w:hint="eastAsia" w:ascii="宋体" w:hAnsi="宋体" w:eastAsia="宋体" w:cs="宋体"/>
          <w:b/>
          <w:color w:val="auto"/>
          <w:sz w:val="24"/>
          <w:szCs w:val="24"/>
          <w:highlight w:val="none"/>
        </w:rPr>
        <w:t xml:space="preserve">规定</w:t>
      </w:r>
      <w:r>
        <w:rPr>
          <w:rFonts w:hint="eastAsia" w:ascii="宋体" w:hAnsi="宋体" w:eastAsia="宋体" w:cs="宋体"/>
          <w:b/>
          <w:color w:val="auto"/>
          <w:sz w:val="24"/>
          <w:szCs w:val="24"/>
          <w:highlight w:val="none"/>
          <w:lang w:eastAsia="zh-CN"/>
        </w:rPr>
        <w:t xml:space="preserve">，但应当由中标人书面提出并作为采购档案保存</w:t>
      </w:r>
      <w:r>
        <w:rPr>
          <w:rFonts w:hint="eastAsia" w:ascii="宋体" w:hAnsi="宋体" w:eastAsia="宋体" w:cs="宋体"/>
          <w:b/>
          <w:color w:val="auto"/>
          <w:sz w:val="24"/>
          <w:szCs w:val="24"/>
          <w:highlight w:val="none"/>
        </w:rPr>
        <w:t xml:space="preserve">。</w:t>
      </w:r>
      <w:r/>
    </w:p>
    <w:p>
      <w:pPr>
        <w:ind w:firstLine="723"/>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（2）以上每次付款前，中标人均应提供符合采购人要求的同等金额的合法有效发票。否则，采购人有权顺延付款时间，且不承担任何违约或赔偿责任。</w:t>
      </w:r>
      <w:r/>
    </w:p>
    <w:p>
      <w:pPr>
        <w:ind w:firstLine="723"/>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（3）本项目支付方式支持数字人民币方式。</w:t>
      </w:r>
      <w:r/>
    </w:p>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不满足上述付款要求的</w:t>
      </w:r>
      <w:r>
        <w:rPr>
          <w:rFonts w:hint="eastAsia" w:ascii="宋体" w:hAnsi="宋体" w:eastAsia="宋体" w:cs="宋体"/>
          <w:b/>
          <w:color w:val="auto"/>
          <w:sz w:val="24"/>
          <w:szCs w:val="24"/>
          <w:highlight w:val="none"/>
          <w:lang w:val="zh-CN"/>
        </w:rPr>
        <w:t xml:space="preserve">将作无效投标处理</w:t>
      </w:r>
      <w:r>
        <w:rPr>
          <w:rFonts w:hint="eastAsia" w:ascii="宋体" w:hAnsi="宋体" w:eastAsia="宋体" w:cs="宋体"/>
          <w:b/>
          <w:color w:val="auto"/>
          <w:sz w:val="24"/>
          <w:szCs w:val="24"/>
          <w:highlight w:val="none"/>
        </w:rPr>
        <w:t xml:space="preserve">。</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6、结算方式：本项目以</w:t>
      </w:r>
      <w:r>
        <w:rPr>
          <w:rFonts w:hint="eastAsia" w:ascii="宋体" w:hAnsi="宋体" w:eastAsia="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合同方式结算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根据实际完成的服务量及实际服务单价</w:t>
      </w:r>
      <w:r>
        <w:rPr>
          <w:rFonts w:hint="eastAsia" w:ascii="宋体" w:hAnsi="宋体" w:eastAsia="宋体" w:cs="宋体"/>
          <w:color w:val="auto"/>
          <w:sz w:val="24"/>
          <w:szCs w:val="24"/>
          <w:highlight w:val="none"/>
          <w:lang w:val="en-US" w:eastAsia="zh-CN"/>
        </w:rPr>
        <w:t xml:space="preserve">每半年</w:t>
      </w:r>
      <w:r>
        <w:rPr>
          <w:rFonts w:hint="eastAsia" w:ascii="宋体" w:hAnsi="宋体" w:eastAsia="宋体" w:cs="宋体"/>
          <w:color w:val="auto"/>
          <w:sz w:val="24"/>
          <w:szCs w:val="24"/>
          <w:highlight w:val="none"/>
        </w:rPr>
        <w:t xml:space="preserve">按实结算服务费用。</w:t>
      </w:r>
      <w:r/>
    </w:p>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、本项目不得以任何形式进行转包及分包。</w:t>
      </w:r>
      <w:r/>
    </w:p>
    <w:p>
      <w:pPr>
        <w:spacing w:line="460" w:lineRule="exact"/>
        <w:rPr>
          <w:rFonts w:hint="eastAsia" w:ascii="宋体" w:hAnsi="宋体" w:eastAsia="宋体" w:cs="宋体"/>
          <w:b/>
          <w:bCs/>
          <w:color w:val="auto"/>
          <w:sz w:val="28"/>
          <w:szCs w:val="28"/>
          <w:highlight w:val="none"/>
          <w:lang w:val="zh-CN" w:eastAsia="zh-CN"/>
        </w:rPr>
        <w:outlineLvl w:val="1"/>
      </w:pPr>
      <w:r/>
      <w:bookmarkStart w:id="279" w:name="_Toc29610"/>
      <w:r/>
      <w:bookmarkStart w:id="280" w:name="_Toc27901"/>
      <w:r>
        <w:rPr>
          <w:rFonts w:hint="eastAsia" w:ascii="宋体" w:hAnsi="宋体" w:eastAsia="宋体" w:cs="宋体"/>
          <w:b/>
          <w:bCs/>
          <w:color w:val="auto"/>
          <w:sz w:val="28"/>
          <w:szCs w:val="28"/>
          <w:highlight w:val="none"/>
          <w:lang w:val="zh-CN" w:eastAsia="zh-CN"/>
        </w:rPr>
        <w:t xml:space="preserve">二、服务内容要求：</w:t>
      </w:r>
      <w:bookmarkEnd w:id="279"/>
      <w:r/>
      <w:bookmarkEnd w:id="280"/>
      <w:r/>
      <w:r/>
    </w:p>
    <w:p>
      <w:pPr>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（一）内容</w:t>
      </w:r>
      <w:r>
        <w:rPr>
          <w:rFonts w:hint="eastAsia" w:ascii="宋体" w:hAnsi="宋体" w:eastAsia="宋体" w:cs="宋体"/>
          <w:b/>
          <w:color w:val="auto"/>
          <w:sz w:val="24"/>
          <w:szCs w:val="24"/>
          <w:highlight w:val="none"/>
          <w:lang w:val="en-US" w:eastAsia="zh-CN"/>
        </w:rPr>
        <w:t xml:space="preserve">清单</w:t>
      </w:r>
      <w:r/>
    </w:p>
    <w:tbl>
      <w:tblPr>
        <w:tblStyle w:val="1018"/>
        <w:tblW w:w="98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1"/>
        <w:gridCol w:w="3982"/>
        <w:gridCol w:w="2196"/>
        <w:gridCol w:w="2551"/>
      </w:tblGrid>
      <w:tr>
        <w:trPr>
          <w:jc w:val="center"/>
          <w:trHeight w:val="0"/>
          <w:tblHeader/>
        </w:trPr>
        <w:tc>
          <w:tcPr>
            <w:shd w:val="clear" w:color="auto" w:fill="ffffff"/>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178"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服务类型</w:t>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项目预计实施数量</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土地征收成片开发方案编制</w:t>
            </w:r>
            <w:r/>
          </w:p>
        </w:tc>
        <w:tc>
          <w:tcPr>
            <w:shd w:val="clear" w:color="auto" w:fill="ffffff"/>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ind w:left="0" w:right="0" w:firstLine="0"/>
              <w:jc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3个</w:t>
            </w:r>
            <w:r/>
          </w:p>
        </w:tc>
      </w:tr>
      <w:tr>
        <w:trPr>
          <w:jc w:val="center"/>
          <w:trHeight w:val="0"/>
        </w:trPr>
        <w:tc>
          <w:tcPr>
            <w:shd w:val="clear" w:color="auto" w:fill="ffffff"/>
            <w:tcBorders>
              <w:top w:val="single" w:color="000000" w:sz="4" w:space="0"/>
              <w:left w:val="single" w:color="000000" w:sz="4" w:space="0"/>
              <w:bottom w:val="none" w:color="000000" w:sz="4" w:space="0"/>
              <w:right w:val="single" w:color="000000" w:sz="4" w:space="0"/>
            </w:tcBorders>
            <w:tcW w:w="114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3982"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土地征收成片开发方案调整</w:t>
            </w:r>
            <w:r/>
          </w:p>
        </w:tc>
        <w:tc>
          <w:tcPr>
            <w:shd w:val="clear" w:color="auto" w:fill="ffffff"/>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一般调整</w:t>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3个</w:t>
            </w:r>
            <w:r/>
          </w:p>
        </w:tc>
      </w:tr>
      <w:tr>
        <w:trPr>
          <w:jc w:val="center"/>
          <w:trHeight w:val="0"/>
        </w:trPr>
        <w:tc>
          <w:tcPr>
            <w:shd w:val="clear" w:color="auto" w:fill="ffffff"/>
            <w:tcBorders>
              <w:top w:val="single" w:color="000000" w:sz="4" w:space="0"/>
              <w:left w:val="single" w:color="000000" w:sz="4" w:space="0"/>
              <w:bottom w:val="none" w:color="000000" w:sz="4" w:space="0"/>
              <w:right w:val="single" w:color="000000" w:sz="4" w:space="0"/>
            </w:tcBorders>
            <w:tcW w:w="1141" w:type="dxa"/>
            <w:vAlign w:val="center"/>
            <w:vMerge w:val="continue"/>
            <w:textDirection w:val="lrTb"/>
            <w:noWrap w:val="false"/>
          </w:tcPr>
          <w:p>
            <w:pPr>
              <w:ind w:left="0" w:right="0" w:firstLine="0"/>
              <w:jc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3982" w:type="dxa"/>
            <w:vAlign w:val="center"/>
            <w:vMerge w:val="continue"/>
            <w:textDirection w:val="lrTb"/>
            <w:noWrap w:val="false"/>
          </w:tcPr>
          <w:p>
            <w:pPr>
              <w:ind w:left="0" w:right="0" w:firstLine="0"/>
              <w:jc w:val="lef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简易调整</w:t>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4个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城镇建设用地报批</w:t>
            </w:r>
            <w:r/>
          </w:p>
        </w:tc>
        <w:tc>
          <w:tcPr>
            <w:shd w:val="clear" w:color="auto" w:fill="ffffff"/>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土地转用、征收</w:t>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12个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14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982"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增减挂钩实施方案报批</w:t>
            </w:r>
            <w:r/>
          </w:p>
        </w:tc>
        <w:tc>
          <w:tcPr>
            <w:shd w:val="clear" w:color="auto" w:fill="ffffff"/>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土地转用</w:t>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9个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141" w:type="dxa"/>
            <w:vAlign w:val="center"/>
            <w:vMerge w:val="continue"/>
            <w:textDirection w:val="lrTb"/>
            <w:noWrap w:val="false"/>
          </w:tcPr>
          <w:p>
            <w:pPr>
              <w:ind w:left="0" w:right="0" w:firstLine="0"/>
              <w:jc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82" w:type="dxa"/>
            <w:vAlign w:val="center"/>
            <w:vMerge w:val="continue"/>
            <w:textDirection w:val="lrTb"/>
            <w:noWrap w:val="false"/>
          </w:tcPr>
          <w:p>
            <w:pPr>
              <w:ind w:left="0" w:right="0" w:firstLine="0"/>
              <w:jc w:val="lef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土地征收</w:t>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4个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独立选址项目用地报批</w:t>
            </w:r>
            <w:r/>
          </w:p>
        </w:tc>
        <w:tc>
          <w:tcPr>
            <w:shd w:val="clear" w:color="auto" w:fill="ffffff"/>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ind w:left="0" w:right="0" w:firstLine="0"/>
              <w:jc w:val="center"/>
              <w:rPr>
                <w:rFonts w:hint="eastAsia" w:ascii="宋体" w:hAnsi="宋体" w:eastAsia="宋体" w:cs="宋体"/>
                <w:i w:val="0"/>
                <w:iCs w:val="0"/>
                <w:color w:val="auto"/>
                <w:sz w:val="28"/>
                <w:szCs w:val="28"/>
                <w:highlight w:val="none"/>
                <w:u w:val="none"/>
              </w:rPr>
            </w:pPr>
            <w:r>
              <w:rPr>
                <w:rFonts w:hint="eastAsia" w:ascii="宋体" w:hAnsi="宋体" w:eastAsia="宋体" w:cs="宋体"/>
                <w:color w:val="auto"/>
                <w:sz w:val="24"/>
                <w:szCs w:val="24"/>
                <w:highlight w:val="none"/>
                <w:lang w:val="en-US" w:eastAsia="zh-CN"/>
              </w:rPr>
              <w:t xml:space="preserve">土地转用、征收</w:t>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4个</w:t>
            </w:r>
            <w:r/>
          </w:p>
        </w:tc>
      </w:tr>
    </w:tbl>
    <w:p>
      <w:pPr>
        <w:spacing w:line="440" w:lineRule="exact"/>
        <w:rPr>
          <w:rFonts w:hint="eastAsia" w:ascii="宋体" w:hAnsi="宋体" w:eastAsia="宋体" w:cs="宋体"/>
          <w:b/>
          <w:color w:val="auto"/>
          <w:sz w:val="24"/>
          <w:szCs w:val="24"/>
          <w:highlight w:val="none"/>
        </w:rPr>
      </w:pPr>
      <w:r/>
      <w:bookmarkStart w:id="281" w:name="_Toc151234382"/>
      <w:r>
        <w:rPr>
          <w:rFonts w:hint="eastAsia" w:ascii="宋体" w:hAnsi="宋体" w:eastAsia="宋体" w:cs="宋体"/>
          <w:b/>
          <w:color w:val="auto"/>
          <w:sz w:val="24"/>
          <w:szCs w:val="24"/>
          <w:highlight w:val="none"/>
        </w:rPr>
        <w:t xml:space="preserve">（二）服务周期</w:t>
      </w:r>
      <w:bookmarkEnd w:id="281"/>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服务期内各项服务内容的工作周期如下：</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rPr>
        <w:t xml:space="preserve">土地征收成片开发方案编制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签订后，编制成片开发方案并征询社会公众、专家学者、人大政协、常熟市及苏州市各部门的同意，通过专家评审，获得专家评审意见后30个日历天内取得主管部门对该项目同意的批复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并完成入库备案</w:t>
      </w:r>
      <w:r>
        <w:rPr>
          <w:rFonts w:hint="eastAsia" w:ascii="宋体" w:hAnsi="宋体" w:eastAsia="宋体" w:cs="宋体"/>
          <w:color w:val="auto"/>
          <w:sz w:val="24"/>
          <w:szCs w:val="24"/>
          <w:highlight w:val="none"/>
        </w:rPr>
        <w:t xml:space="preserve">。</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土地征收成片开发方案调整</w:t>
      </w:r>
      <w:r>
        <w:rPr>
          <w:rFonts w:hint="eastAsia" w:ascii="宋体" w:hAnsi="宋体" w:eastAsia="宋体" w:cs="宋体"/>
          <w:color w:val="auto"/>
          <w:sz w:val="24"/>
          <w:szCs w:val="24"/>
          <w:highlight w:val="none"/>
        </w:rPr>
        <w:t xml:space="preserve">：</w:t>
      </w:r>
      <w:r/>
    </w:p>
    <w:p>
      <w:pPr>
        <w:ind w:left="0" w:firstLine="8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2.1一般调整：</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签订后，编制成片开发方案调整文本并征询社会公众、专家学者、人大政协、常熟市及苏州市各部门的同意，通过专家评审，获得专家评审意见后30个日历天内取得主管部门对该项目同意的批复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并完成入库备案</w:t>
      </w:r>
      <w:r>
        <w:rPr>
          <w:rFonts w:hint="eastAsia" w:ascii="宋体" w:hAnsi="宋体" w:eastAsia="宋体" w:cs="宋体"/>
          <w:color w:val="auto"/>
          <w:sz w:val="24"/>
          <w:szCs w:val="24"/>
          <w:highlight w:val="none"/>
        </w:rPr>
        <w:t xml:space="preserve">。</w:t>
      </w:r>
      <w:r/>
    </w:p>
    <w:p>
      <w:pPr>
        <w:ind w:left="0" w:firstLine="8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2.2简易调整：编制完成成片开发方案调整成果，获得拟征收集体土地所涉集体经济组织同意，成果申请上报后，在30个日历天内，通过省级技术审查并完成省、市级成果数据备案。</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城镇建设用地报批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签订后，完成征地前程序后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0个日历天内，取得主管部门下发的建设用地批复。</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增减挂钩实施方案报批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签订后，完成征地前程序后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0个日历天内，取得主管部门下发的批复。</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独立选址项目用地报批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签订后，获得独立选址项目初步设计及概算批复，并完成征地前程序后90个日历天内，取得主管部门下发的建设用地批复。</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注：如遇政策调整或项目本身支撑性材料不满足上报要求情形，则完成时间另行商定。</w:t>
      </w:r>
      <w:r/>
    </w:p>
    <w:p>
      <w:pPr>
        <w:spacing w:line="460" w:lineRule="exact"/>
        <w:rPr>
          <w:rFonts w:hint="eastAsia" w:ascii="宋体" w:hAnsi="宋体" w:eastAsia="宋体" w:cs="宋体"/>
          <w:b/>
          <w:bCs/>
          <w:color w:val="auto"/>
          <w:sz w:val="28"/>
          <w:szCs w:val="28"/>
          <w:highlight w:val="none"/>
          <w:lang w:val="zh-CN" w:eastAsia="zh-CN"/>
        </w:rPr>
        <w:outlineLvl w:val="1"/>
      </w:pPr>
      <w:r/>
      <w:bookmarkStart w:id="282" w:name="_Toc1146"/>
      <w:r/>
      <w:bookmarkStart w:id="283" w:name="_Toc7214"/>
      <w:r/>
      <w:bookmarkStart w:id="284" w:name="_Toc151234383"/>
      <w:r>
        <w:rPr>
          <w:rFonts w:hint="eastAsia" w:ascii="宋体" w:hAnsi="宋体" w:eastAsia="宋体" w:cs="宋体"/>
          <w:b/>
          <w:bCs/>
          <w:color w:val="auto"/>
          <w:sz w:val="28"/>
          <w:szCs w:val="28"/>
          <w:highlight w:val="none"/>
          <w:lang w:val="zh-CN" w:eastAsia="zh-CN"/>
        </w:rPr>
        <w:t xml:space="preserve">三、项目服务要求：</w:t>
      </w:r>
      <w:bookmarkEnd w:id="282"/>
      <w:r/>
      <w:bookmarkEnd w:id="283"/>
      <w:r/>
      <w:bookmarkEnd w:id="284"/>
      <w:r/>
      <w:r/>
    </w:p>
    <w:p>
      <w:pPr>
        <w:spacing w:line="440" w:lineRule="exact"/>
        <w:rPr>
          <w:rFonts w:hint="eastAsia" w:ascii="宋体" w:hAnsi="宋体" w:eastAsia="宋体" w:cs="宋体"/>
          <w:b/>
          <w:color w:val="auto"/>
          <w:sz w:val="24"/>
          <w:szCs w:val="24"/>
          <w:highlight w:val="none"/>
        </w:rPr>
      </w:pPr>
      <w:r/>
      <w:bookmarkStart w:id="285" w:name="_Toc151234384"/>
      <w:r>
        <w:rPr>
          <w:rFonts w:hint="eastAsia" w:ascii="宋体" w:hAnsi="宋体" w:eastAsia="宋体" w:cs="宋体"/>
          <w:b/>
          <w:color w:val="auto"/>
          <w:sz w:val="24"/>
          <w:szCs w:val="24"/>
          <w:highlight w:val="none"/>
        </w:rPr>
        <w:t xml:space="preserve">（一）土地征收成片开发方案</w:t>
      </w:r>
      <w:bookmarkEnd w:id="285"/>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省市层面相关政策文件，开展成片开发方案编制工作，主要包括：合理划定片区范围，分析土地利用、权属、建设、用途等基本信息；结合片区发展功能定位和主要用途，对开发建设内容和实施进度做出具体安排；制定被征地农民权益保障措施；测算投入资金，评估相应的经济、社会、生态效益。编制文本、表格、图件、数据库、附件资料等各项成果，通过专家评审后，最终获得主管部门下发的批复。</w:t>
      </w:r>
      <w:r/>
    </w:p>
    <w:p>
      <w:pPr>
        <w:spacing w:line="440" w:lineRule="exact"/>
        <w:rPr>
          <w:rFonts w:hint="eastAsia" w:ascii="宋体" w:hAnsi="宋体" w:eastAsia="宋体" w:cs="宋体"/>
          <w:b/>
          <w:color w:val="auto"/>
          <w:sz w:val="24"/>
          <w:szCs w:val="24"/>
          <w:highlight w:val="none"/>
        </w:rPr>
      </w:pPr>
      <w:r/>
      <w:bookmarkStart w:id="286" w:name="_Toc151234385"/>
      <w:r>
        <w:rPr>
          <w:rFonts w:hint="eastAsia" w:ascii="宋体" w:hAnsi="宋体" w:eastAsia="宋体" w:cs="宋体"/>
          <w:b/>
          <w:color w:val="auto"/>
          <w:sz w:val="24"/>
          <w:szCs w:val="24"/>
          <w:highlight w:val="none"/>
        </w:rPr>
        <w:t xml:space="preserve">（二）用地报批及增减挂钩实施方案</w:t>
      </w:r>
      <w:bookmarkEnd w:id="286"/>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1、总体要求：根据《土地管理法》、《土地管理法实施条例》、《江苏省土地管理条例》及城乡建设用地增减挂钩相关文件、技术要求，等开展常熟高新区独立选址项目用地报批、增减挂钩实施方案</w:t>
      </w:r>
      <w:r>
        <w:rPr>
          <w:rFonts w:hint="eastAsia" w:ascii="宋体" w:hAnsi="宋体" w:eastAsia="宋体" w:cs="宋体"/>
          <w:color w:val="auto"/>
          <w:sz w:val="24"/>
          <w:szCs w:val="24"/>
          <w:highlight w:val="none"/>
          <w:lang w:val="en-US" w:eastAsia="zh-CN"/>
        </w:rPr>
        <w:t xml:space="preserve">报批</w:t>
      </w:r>
      <w:r>
        <w:rPr>
          <w:rFonts w:hint="eastAsia" w:ascii="宋体" w:hAnsi="宋体" w:eastAsia="宋体" w:cs="宋体"/>
          <w:color w:val="auto"/>
          <w:sz w:val="24"/>
          <w:szCs w:val="24"/>
          <w:highlight w:val="none"/>
        </w:rPr>
        <w:t xml:space="preserve">、城镇</w:t>
      </w:r>
      <w:r>
        <w:rPr>
          <w:rFonts w:hint="eastAsia" w:ascii="宋体" w:hAnsi="宋体" w:eastAsia="宋体" w:cs="宋体"/>
          <w:color w:val="auto"/>
          <w:sz w:val="24"/>
          <w:szCs w:val="24"/>
          <w:highlight w:val="none"/>
          <w:lang w:val="en-US" w:eastAsia="zh-CN"/>
        </w:rPr>
        <w:t xml:space="preserve">建设</w:t>
      </w:r>
      <w:r>
        <w:rPr>
          <w:rFonts w:hint="eastAsia" w:ascii="宋体" w:hAnsi="宋体" w:eastAsia="宋体" w:cs="宋体"/>
          <w:color w:val="auto"/>
          <w:sz w:val="24"/>
          <w:szCs w:val="24"/>
          <w:highlight w:val="none"/>
        </w:rPr>
        <w:t xml:space="preserve">用地报批工作。</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2、具体服务要求：</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b/>
          <w:color w:val="auto"/>
          <w:sz w:val="24"/>
          <w:szCs w:val="24"/>
          <w:highlight w:val="none"/>
        </w:rPr>
        <w:t xml:space="preserve">独立选址项目用地报批</w:t>
      </w:r>
      <w:r>
        <w:rPr>
          <w:rFonts w:hint="eastAsia" w:ascii="宋体" w:hAnsi="宋体" w:eastAsia="宋体" w:cs="宋体"/>
          <w:color w:val="auto"/>
          <w:sz w:val="24"/>
          <w:szCs w:val="24"/>
          <w:highlight w:val="none"/>
        </w:rPr>
        <w:t xml:space="preserve">：按照独立选址建设项目用地报批法律法规，开展用地报批组卷工作，包括：开展压覆重要矿产资源查询工作；完成地质灾害危险性评估；协助完成征地前程序及资料整理；编制形成项目用地报批组卷；协助办理各级审查、流转，最终获得主管部门下发的用地批复。</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
          <w:color w:val="auto"/>
          <w:sz w:val="24"/>
          <w:szCs w:val="24"/>
          <w:highlight w:val="none"/>
        </w:rPr>
        <w:t xml:space="preserve">增减挂钩实施方案</w:t>
      </w:r>
      <w:r>
        <w:rPr>
          <w:rFonts w:hint="eastAsia" w:ascii="宋体" w:hAnsi="宋体" w:eastAsia="宋体" w:cs="宋体"/>
          <w:b/>
          <w:color w:val="auto"/>
          <w:sz w:val="24"/>
          <w:szCs w:val="24"/>
          <w:highlight w:val="none"/>
          <w:lang w:val="en-US" w:eastAsia="zh-CN"/>
        </w:rPr>
        <w:t xml:space="preserve">报批</w:t>
      </w:r>
      <w:r>
        <w:rPr>
          <w:rFonts w:hint="eastAsia" w:ascii="宋体" w:hAnsi="宋体" w:eastAsia="宋体" w:cs="宋体"/>
          <w:color w:val="auto"/>
          <w:sz w:val="24"/>
          <w:szCs w:val="24"/>
          <w:highlight w:val="none"/>
        </w:rPr>
        <w:t xml:space="preserve">：按照城镇批次项目用地使用城乡建设用地增减挂钩指标的法律法规，完成实施方案编制及审批。其中，实施方案内容包括：增减挂钩专项规划实施情况、增减挂钩复垦项目的验收及使用情况、增减挂钩项目区实施方案、土地权属调整方案、资金保障方案、规划实施保障措施等内容；开展实施方案的报批审查工作，过程中开展与各有关部门的协调、沟通；在取得批复后，将成果录入“城乡建设用地增减挂钩在线监管系统”。</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b/>
          <w:color w:val="auto"/>
          <w:sz w:val="24"/>
          <w:szCs w:val="24"/>
          <w:highlight w:val="none"/>
        </w:rPr>
        <w:t xml:space="preserve">城镇批次项目用地报批</w:t>
      </w:r>
      <w:r>
        <w:rPr>
          <w:rFonts w:hint="eastAsia" w:ascii="宋体" w:hAnsi="宋体" w:eastAsia="宋体" w:cs="宋体"/>
          <w:color w:val="auto"/>
          <w:sz w:val="24"/>
          <w:szCs w:val="24"/>
          <w:highlight w:val="none"/>
        </w:rPr>
        <w:t xml:space="preserve">：按照城镇批次项目用地报批法律法规，开展用地报批组卷工作，包括：协助完成征地前程序及资料整理；编制形成项目用地报批组卷；协助办理各级审查、流转，最终获得主管部门下发的用地批复。</w:t>
      </w:r>
      <w:r/>
    </w:p>
    <w:p>
      <w:pPr>
        <w:spacing w:line="440" w:lineRule="exact"/>
        <w:rPr>
          <w:rFonts w:hint="eastAsia" w:ascii="宋体" w:hAnsi="宋体" w:eastAsia="宋体" w:cs="宋体"/>
          <w:b/>
          <w:color w:val="auto"/>
          <w:sz w:val="24"/>
          <w:szCs w:val="24"/>
          <w:highlight w:val="none"/>
        </w:rPr>
      </w:pPr>
      <w:r/>
      <w:bookmarkStart w:id="287" w:name="_Toc151234386"/>
      <w:r>
        <w:rPr>
          <w:rFonts w:hint="eastAsia" w:ascii="宋体" w:hAnsi="宋体" w:eastAsia="宋体" w:cs="宋体"/>
          <w:b/>
          <w:color w:val="auto"/>
          <w:sz w:val="24"/>
          <w:szCs w:val="24"/>
          <w:highlight w:val="none"/>
        </w:rPr>
        <w:t xml:space="preserve">（三）成果内容及形式</w:t>
      </w:r>
      <w:bookmarkEnd w:id="287"/>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1、土地征收成片开发方案：</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1.1、按照《江苏省土地征收成片开发方案格式规范》要求形成完整的报件内容。具体包括：总体概述（文本、附表、附图、附件）、单个片区（文本、附表、附图、数据库、附件）两部分成果内容。</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1.2、成果形式包括纸质材料和电子光盘。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2、用地报批及增减挂钩实施方案</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2.1、城镇批次项目用地报批及增减挂钩实施方案：</w:t>
      </w:r>
      <w:r/>
    </w:p>
    <w:p>
      <w:pPr>
        <w:ind w:firstLine="9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2.1.1成果构成：增减挂钩实施方案文本、图纸、附件；项目用地报批报件及用地批复。</w:t>
      </w:r>
      <w:r/>
    </w:p>
    <w:p>
      <w:pPr>
        <w:ind w:firstLine="9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成果形式（需达到但不局限于以下要求）：①提供统一装订的实施方案成果；②提供统一装订的符合主管部门备案要求的用地报批组卷材料；③数据文件（格式包括ArcGIS、Word、Excel等），批复文件和电子报件等。</w:t>
      </w:r>
      <w:r/>
    </w:p>
    <w:p>
      <w:pPr>
        <w:spacing w:line="460" w:lineRule="exact"/>
        <w:rPr>
          <w:rFonts w:hint="eastAsia" w:ascii="宋体" w:hAnsi="宋体" w:eastAsia="宋体" w:cs="宋体"/>
          <w:b/>
          <w:bCs/>
          <w:color w:val="auto"/>
          <w:sz w:val="28"/>
          <w:szCs w:val="28"/>
          <w:highlight w:val="none"/>
          <w:lang w:val="zh-CN" w:eastAsia="zh-CN"/>
        </w:rPr>
        <w:outlineLvl w:val="1"/>
      </w:pPr>
      <w:r/>
      <w:bookmarkStart w:id="288" w:name="_Toc26008"/>
      <w:r/>
      <w:bookmarkStart w:id="289" w:name="_Toc13674"/>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zh-CN" w:eastAsia="zh-CN"/>
        </w:rPr>
        <w:t xml:space="preserve">、</w:t>
      </w:r>
      <w:r>
        <w:rPr>
          <w:rFonts w:hint="eastAsia" w:ascii="宋体" w:hAnsi="宋体" w:eastAsia="宋体" w:cs="宋体"/>
          <w:b/>
          <w:bCs/>
          <w:color w:val="auto"/>
          <w:sz w:val="28"/>
          <w:szCs w:val="28"/>
          <w:highlight w:val="none"/>
          <w:lang w:val="en-US" w:eastAsia="zh-CN"/>
        </w:rPr>
        <w:t xml:space="preserve">其他</w:t>
      </w:r>
      <w:r>
        <w:rPr>
          <w:rFonts w:hint="eastAsia" w:ascii="宋体" w:hAnsi="宋体" w:eastAsia="宋体" w:cs="宋体"/>
          <w:b/>
          <w:bCs/>
          <w:color w:val="auto"/>
          <w:sz w:val="28"/>
          <w:szCs w:val="28"/>
          <w:highlight w:val="none"/>
          <w:lang w:val="zh-CN" w:eastAsia="zh-CN"/>
        </w:rPr>
        <w:t xml:space="preserve">要求：</w:t>
      </w:r>
      <w:bookmarkEnd w:id="288"/>
      <w:r/>
      <w:bookmarkEnd w:id="289"/>
      <w:r/>
      <w:r/>
    </w:p>
    <w:p>
      <w:pPr>
        <w:ind w:firstLine="241"/>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1、人员配备要求</w:t>
      </w:r>
      <w:r/>
    </w:p>
    <w:p>
      <w:pPr>
        <w:ind w:firstLine="241"/>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配备项目负责人1名，另外成立不少于</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人技术团队。</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在服务期限内，如</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需更换实际提供履约服务的人员，非经采购人允许，不得随意更换。如确需更换的，需保证服务人员的职称、证书、资历等要求不低于</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中拟投入人员，否则采购人有权终止项目合同，并无须承担相应的违约责任。</w:t>
      </w:r>
      <w:r/>
    </w:p>
    <w:p>
      <w:pPr>
        <w:ind w:firstLine="241"/>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、技术依据：为保证本项目实施的科学性、规范性和准确性，技术设计需严格遵照国家有关法律、法规、规章制度以及国家和行业颁布的相关技术标准和规范。</w:t>
      </w:r>
      <w:r/>
    </w:p>
    <w:p>
      <w:pPr>
        <w:ind w:firstLine="24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、响应时间要求：7*24小时，接到采购人通知后60分钟内响应，如因项目所需应在2个小时内到达现场。</w:t>
      </w:r>
      <w:r>
        <w:rPr>
          <w:rFonts w:hint="eastAsia" w:ascii="宋体" w:hAnsi="宋体" w:eastAsia="宋体" w:cs="宋体"/>
          <w:color w:val="auto"/>
          <w:sz w:val="24"/>
          <w:highlight w:val="none"/>
          <w:lang w:val="en-US" w:eastAsia="zh-CN"/>
        </w:rPr>
        <w:t xml:space="preserve">服务期限内投标人出现三次无故不响应情况（不可抗力除外），采购人有权终止项目合同，并无须承担相应的违约责任。</w:t>
      </w:r>
      <w:r/>
    </w:p>
    <w:p>
      <w:pPr>
        <w:ind w:firstLine="241"/>
        <w:spacing w:line="440" w:lineRule="exact"/>
        <w:rPr>
          <w:rFonts w:hint="eastAsia" w:ascii="宋体" w:hAnsi="宋体" w:eastAsia="宋体" w:cs="宋体"/>
          <w:b/>
          <w:bCs/>
          <w:color w:val="auto"/>
          <w:sz w:val="24"/>
          <w:szCs w:val="24"/>
          <w:highlight w:val="none"/>
        </w:rPr>
      </w:pPr>
      <w:r/>
      <w:bookmarkStart w:id="290" w:name="_Toc485992633"/>
      <w:r/>
      <w:bookmarkStart w:id="291" w:name="_Toc485977967"/>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验收要求</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4.1、中标人必须在规定的时间内，保质保量完成各阶段的服务工作。</w:t>
      </w:r>
      <w:r>
        <w:rPr>
          <w:rFonts w:hint="eastAsia" w:ascii="宋体" w:hAnsi="宋体" w:eastAsia="宋体" w:cs="宋体"/>
          <w:color w:val="auto"/>
          <w:sz w:val="24"/>
          <w:highlight w:val="none"/>
          <w:lang w:val="en-US" w:eastAsia="zh-CN"/>
        </w:rPr>
        <w:t xml:space="preserve">服务期限内因投标人原因（不可抗力除外）致使项目用地报批超期或退件达到两次的，采购人有权终止项目合同，并无须承担相应的违约责任。</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4.2、采购人需切实履行好主体责任，对于履约服务人员的职称、证书、资历等开展日常核实并记录在册。若不能符合要求的，应追究投标人违约责任。</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4.3、验收标准：根据招标文件、中标人的投标文件、双方签订的合同文件及其附件。</w:t>
      </w:r>
      <w:r/>
    </w:p>
    <w:p>
      <w:pPr>
        <w:spacing w:line="460" w:lineRule="exact"/>
        <w:rPr>
          <w:rFonts w:hint="eastAsia" w:ascii="宋体" w:hAnsi="宋体" w:eastAsia="宋体" w:cs="宋体"/>
          <w:b/>
          <w:bCs/>
          <w:color w:val="auto"/>
          <w:sz w:val="28"/>
          <w:szCs w:val="28"/>
          <w:highlight w:val="none"/>
          <w:lang w:val="en-US" w:eastAsia="zh-CN"/>
        </w:rPr>
        <w:outlineLvl w:val="1"/>
      </w:pPr>
      <w:r/>
      <w:bookmarkStart w:id="292" w:name="_Toc10280"/>
      <w:r/>
      <w:bookmarkStart w:id="293" w:name="_Toc3600"/>
      <w:r>
        <w:rPr>
          <w:rFonts w:hint="eastAsia" w:ascii="宋体" w:hAnsi="宋体" w:eastAsia="宋体" w:cs="宋体"/>
          <w:b/>
          <w:bCs/>
          <w:color w:val="auto"/>
          <w:sz w:val="28"/>
          <w:szCs w:val="28"/>
          <w:highlight w:val="none"/>
          <w:lang w:val="en-US" w:eastAsia="zh-CN"/>
        </w:rPr>
        <w:t xml:space="preserve">五、投标报价要求：</w:t>
      </w:r>
      <w:bookmarkEnd w:id="292"/>
      <w:r/>
      <w:bookmarkEnd w:id="293"/>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1、投标人须对本项目中要求的所有服务进行投报，不得拆开投报或只投其中的部分内容，否则作无效投标处理。</w:t>
      </w:r>
      <w:r/>
    </w:p>
    <w:p>
      <w:pPr>
        <w:ind w:firstLine="482"/>
        <w:spacing w:line="44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zh-CN"/>
        </w:rPr>
        <w:t xml:space="preserve">、本项目采购预算为¥3510000.00元（人民币叁佰伍拾壹万元整）。各子项最高限价如下表：</w:t>
      </w:r>
      <w:r/>
    </w:p>
    <w:tbl>
      <w:tblPr>
        <w:tblStyle w:val="1018"/>
        <w:tblW w:w="89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0"/>
        <w:gridCol w:w="3481"/>
        <w:gridCol w:w="1841"/>
        <w:gridCol w:w="2700"/>
      </w:tblGrid>
      <w:tr>
        <w:trPr>
          <w:jc w:val="center"/>
          <w:trHeight w:val="424"/>
          <w:tblHeader/>
        </w:trPr>
        <w:tc>
          <w:tcPr>
            <w:shd w:val="clear" w:color="auto"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服务类型</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1186"/>
                <w:rFonts w:hint="eastAsia" w:ascii="宋体" w:hAnsi="宋体" w:eastAsia="宋体" w:cs="宋体"/>
                <w:b/>
                <w:color w:val="auto"/>
                <w:sz w:val="24"/>
                <w:szCs w:val="24"/>
                <w:highlight w:val="none"/>
                <w:lang w:val="en-US" w:eastAsia="zh-CN" w:bidi="ar"/>
              </w:rPr>
              <w:t xml:space="preserve">最高限价（元</w:t>
            </w:r>
            <w:r>
              <w:rPr>
                <w:rStyle w:val="1187"/>
                <w:rFonts w:hint="eastAsia" w:ascii="宋体" w:hAnsi="宋体" w:eastAsia="宋体" w:cs="宋体"/>
                <w:b/>
                <w:color w:val="auto"/>
                <w:sz w:val="24"/>
                <w:szCs w:val="24"/>
                <w:highlight w:val="none"/>
                <w:lang w:val="en-US" w:eastAsia="zh-CN" w:bidi="ar"/>
              </w:rPr>
              <w:t xml:space="preserve">/</w:t>
            </w:r>
            <w:r>
              <w:rPr>
                <w:rStyle w:val="1186"/>
                <w:rFonts w:hint="eastAsia" w:ascii="宋体" w:hAnsi="宋体" w:eastAsia="宋体" w:cs="宋体"/>
                <w:b/>
                <w:color w:val="auto"/>
                <w:sz w:val="24"/>
                <w:szCs w:val="24"/>
                <w:highlight w:val="none"/>
                <w:lang w:val="en-US" w:eastAsia="zh-CN" w:bidi="ar"/>
              </w:rPr>
              <w:t xml:space="preserve">项目）</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土地征收成片开发方案编制</w:t>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90000</w:t>
            </w:r>
            <w:r/>
          </w:p>
        </w:tc>
      </w:tr>
      <w:tr>
        <w:trPr>
          <w:jc w:val="center"/>
          <w:trHeight w:val="0"/>
        </w:trPr>
        <w:tc>
          <w:tcPr>
            <w:shd w:val="clear" w:color="auto" w:fill="ffffff"/>
            <w:tcBorders>
              <w:top w:val="single" w:color="000000" w:sz="4" w:space="0"/>
              <w:left w:val="single" w:color="000000" w:sz="4" w:space="0"/>
              <w:bottom w:val="none" w:color="000000" w:sz="4" w:space="0"/>
              <w:right w:val="single" w:color="000000" w:sz="4" w:space="0"/>
            </w:tcBorders>
            <w:tcW w:w="92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348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土地征收成片开发方案调整</w:t>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一般调整</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135000</w:t>
            </w:r>
            <w:r/>
          </w:p>
        </w:tc>
      </w:tr>
      <w:tr>
        <w:trPr>
          <w:jc w:val="center"/>
          <w:trHeight w:val="0"/>
        </w:trPr>
        <w:tc>
          <w:tcPr>
            <w:shd w:val="clear" w:color="auto" w:fill="ffffff"/>
            <w:tcBorders>
              <w:top w:val="single" w:color="000000" w:sz="4" w:space="0"/>
              <w:left w:val="single" w:color="000000" w:sz="4" w:space="0"/>
              <w:bottom w:val="none" w:color="000000" w:sz="4" w:space="0"/>
              <w:right w:val="single" w:color="000000" w:sz="4" w:space="0"/>
            </w:tcBorders>
            <w:tcW w:w="920" w:type="dxa"/>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3481" w:type="dxa"/>
            <w:vAlign w:val="center"/>
            <w:vMerge w:val="continue"/>
            <w:textDirection w:val="lrTb"/>
            <w:noWrap w:val="false"/>
          </w:tcPr>
          <w:p>
            <w:pPr>
              <w:ind w:left="0" w:right="0" w:firstLine="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简易调整</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40500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城镇建设用地报批</w:t>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土地转用、征收</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81000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48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增减挂钩实施方案报批</w:t>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土地转用</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81000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81" w:type="dxa"/>
            <w:vAlign w:val="center"/>
            <w:vMerge w:val="continue"/>
            <w:textDirection w:val="lrTb"/>
            <w:noWrap w:val="false"/>
          </w:tcPr>
          <w:p>
            <w:pPr>
              <w:ind w:left="0" w:right="0" w:firstLine="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土地征收</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81000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独立选址项目用地报批</w:t>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土地转用、征收</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162000</w:t>
            </w:r>
            <w:r/>
          </w:p>
        </w:tc>
      </w:tr>
    </w:tbl>
    <w:p>
      <w:pPr>
        <w:numPr>
          <w:ilvl w:val="0"/>
          <w:numId w:val="0"/>
        </w:numPr>
        <w:ind w:firstLine="482"/>
        <w:spacing w:line="440" w:lineRule="exact"/>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bidi="ar-SA"/>
        </w:rPr>
        <w:t xml:space="preserve">3、</w:t>
      </w:r>
      <w:r>
        <w:rPr>
          <w:rFonts w:hint="eastAsia" w:ascii="宋体" w:hAnsi="宋体" w:eastAsia="宋体" w:cs="宋体"/>
          <w:b/>
          <w:color w:val="auto"/>
          <w:sz w:val="24"/>
          <w:szCs w:val="24"/>
          <w:highlight w:val="none"/>
          <w:lang w:val="zh-CN" w:eastAsia="zh-CN"/>
        </w:rPr>
        <w:t xml:space="preserve">本项目以优惠率报价，各投标人的投标优惠率均不得低于0%，否则将作无效投标处理。</w:t>
      </w:r>
      <w:r/>
    </w:p>
    <w:p>
      <w:pPr>
        <w:numPr>
          <w:ilvl w:val="0"/>
          <w:numId w:val="0"/>
        </w:numPr>
        <w:ind w:firstLine="482"/>
        <w:spacing w:line="440" w:lineRule="exact"/>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4、在服务期限内中标优惠率保持不变。</w:t>
      </w:r>
      <w:r/>
    </w:p>
    <w:p>
      <w:pPr>
        <w:numPr>
          <w:ilvl w:val="0"/>
          <w:numId w:val="0"/>
        </w:numPr>
        <w:ind w:firstLine="482"/>
        <w:spacing w:line="440" w:lineRule="exact"/>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5、本项目中，实际服务单价=各服务类型最高限价×（</w:t>
      </w:r>
      <w:r>
        <w:rPr>
          <w:rFonts w:hint="eastAsia" w:ascii="宋体" w:hAnsi="宋体" w:eastAsia="宋体" w:cs="宋体"/>
          <w:b/>
          <w:color w:val="auto"/>
          <w:sz w:val="24"/>
          <w:szCs w:val="24"/>
          <w:highlight w:val="none"/>
          <w:lang w:val="en-US" w:eastAsia="zh-CN" w:bidi="ar-SA"/>
        </w:rPr>
        <w:t xml:space="preserve">1-中标</w:t>
      </w:r>
      <w:r>
        <w:rPr>
          <w:rFonts w:hint="eastAsia" w:ascii="宋体" w:hAnsi="宋体" w:eastAsia="宋体" w:cs="宋体"/>
          <w:b/>
          <w:color w:val="auto"/>
          <w:sz w:val="24"/>
          <w:szCs w:val="24"/>
          <w:highlight w:val="none"/>
          <w:lang w:val="zh-CN" w:eastAsia="zh-CN" w:bidi="ar-SA"/>
        </w:rPr>
        <w:t xml:space="preserve">优惠率），最终根据实际服务项目按实结算相应的服务费用。</w:t>
      </w:r>
      <w:r/>
    </w:p>
    <w:p>
      <w:pPr>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服务费用包含完成所承接服务项目所需的全部费用，包括：技术服务费、评估费、配合费、成果编制费（含打印、装订）、材料消耗费（包括各类耗材）、人员费（包括工资、福利、社保等）、交通费、就餐住宿费、风险费、保险、利润、规费、税金、中标服务费、政策性文件规定及合同包含的所有风险、责任等所有费用。</w:t>
      </w:r>
      <w:r/>
    </w:p>
    <w:p>
      <w:pPr>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7、投标人在报价时应考虑各种风险因素，相关风险因素费用包含在投标价格中。</w:t>
      </w:r>
      <w:bookmarkEnd w:id="290"/>
      <w:r/>
      <w:bookmarkEnd w:id="291"/>
      <w:r/>
      <w:r/>
    </w:p>
    <w:p>
      <w:pPr>
        <w:spacing w:line="460" w:lineRule="exact"/>
        <w:rPr>
          <w:rFonts w:hint="eastAsia" w:ascii="宋体" w:hAnsi="宋体" w:eastAsia="宋体" w:cs="宋体"/>
          <w:b/>
          <w:bCs/>
          <w:color w:val="auto"/>
          <w:sz w:val="28"/>
          <w:szCs w:val="28"/>
          <w:highlight w:val="none"/>
        </w:rPr>
        <w:outlineLvl w:val="1"/>
      </w:pPr>
      <w:r/>
      <w:bookmarkStart w:id="294" w:name="_Toc3329"/>
      <w:r/>
      <w:bookmarkStart w:id="295" w:name="_Toc3245"/>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、其他说明：</w:t>
      </w:r>
      <w:bookmarkEnd w:id="294"/>
      <w:r/>
      <w:bookmarkEnd w:id="295"/>
      <w:r/>
      <w:r/>
    </w:p>
    <w:p>
      <w:pPr>
        <w:ind w:firstLine="241"/>
        <w:spacing w:line="45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rPr>
        <w:t xml:space="preserve">1、</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需求”中标“★”的相关要求，为本招标文件实质性要求，必须满足，否则将作无效投标处理。</w:t>
      </w:r>
      <w:r/>
    </w:p>
    <w:p>
      <w:pPr>
        <w:jc w:val="left"/>
        <w:widowControl/>
        <w:rPr>
          <w:rFonts w:hint="eastAsia" w:ascii="宋体" w:hAnsi="宋体" w:eastAsia="宋体" w:cs="宋体"/>
          <w:b/>
          <w:color w:val="auto"/>
          <w:sz w:val="36"/>
          <w:highlight w:val="none"/>
        </w:rPr>
      </w:pPr>
      <w:r>
        <w:rPr>
          <w:rFonts w:hint="eastAsia" w:ascii="宋体" w:hAnsi="宋体" w:eastAsia="宋体" w:cs="宋体"/>
          <w:color w:val="auto"/>
          <w:highlight w:val="none"/>
        </w:rPr>
        <w:br w:type="page" w:clear="all"/>
      </w:r>
      <w:r/>
    </w:p>
    <w:p>
      <w:pPr>
        <w:pStyle w:val="1008"/>
        <w:spacing w:line="440" w:lineRule="exact"/>
        <w:rPr>
          <w:rFonts w:hint="eastAsia" w:ascii="宋体" w:hAnsi="宋体" w:eastAsia="宋体" w:cs="宋体"/>
          <w:color w:val="auto"/>
          <w:highlight w:val="none"/>
        </w:rPr>
      </w:pPr>
      <w:r/>
      <w:bookmarkStart w:id="296" w:name="_Toc22109"/>
      <w:r>
        <w:rPr>
          <w:rFonts w:hint="eastAsia" w:ascii="宋体" w:hAnsi="宋体" w:eastAsia="宋体" w:cs="宋体"/>
          <w:color w:val="auto"/>
          <w:highlight w:val="none"/>
        </w:rPr>
        <w:t xml:space="preserve">第五章 评审方法与评审标准</w:t>
      </w:r>
      <w:bookmarkEnd w:id="278"/>
      <w:r/>
      <w:bookmarkEnd w:id="296"/>
      <w:r/>
      <w:r/>
    </w:p>
    <w:p>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一、评标方法</w:t>
      </w:r>
      <w:r/>
    </w:p>
    <w:p>
      <w:pPr>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评标办法采用</w:t>
      </w:r>
      <w:r>
        <w:rPr>
          <w:rFonts w:hint="eastAsia" w:ascii="宋体" w:hAnsi="宋体" w:eastAsia="宋体" w:cs="宋体"/>
          <w:b/>
          <w:color w:val="auto"/>
          <w:sz w:val="24"/>
          <w:szCs w:val="24"/>
          <w:highlight w:val="none"/>
        </w:rPr>
        <w:t xml:space="preserve">综合评分法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二、评审因素、权值及评分标准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注：每部分的得分保留小数点后两位，合计得分保留小数点后两位。</w:t>
      </w:r>
      <w:r/>
    </w:p>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1、报价得分25分</w:t>
      </w:r>
      <w:r/>
    </w:p>
    <w:p>
      <w:pPr>
        <w:ind w:firstLine="470"/>
        <w:spacing w:line="440" w:lineRule="exact"/>
        <w:rPr>
          <w:rFonts w:hint="eastAsia" w:ascii="宋体" w:hAnsi="宋体" w:eastAsia="宋体" w:cs="宋体"/>
          <w:color w:val="auto"/>
          <w:sz w:val="24"/>
          <w:szCs w:val="24"/>
          <w:highlight w:val="none"/>
        </w:rPr>
      </w:pPr>
      <w:r/>
      <w:bookmarkStart w:id="297" w:name="OLE_LINK11"/>
      <w:r/>
      <w:bookmarkStart w:id="298" w:name="_Toc29724"/>
      <w:r>
        <w:rPr>
          <w:rFonts w:hint="eastAsia" w:ascii="宋体" w:hAnsi="宋体" w:eastAsia="宋体" w:cs="宋体"/>
          <w:color w:val="auto"/>
          <w:sz w:val="24"/>
          <w:szCs w:val="24"/>
          <w:highlight w:val="none"/>
        </w:rPr>
        <w:t xml:space="preserve">满足招标文件要求且投标报价优惠率</w:t>
      </w:r>
      <w:r>
        <w:rPr>
          <w:rFonts w:hint="eastAsia" w:ascii="宋体" w:hAnsi="宋体" w:eastAsia="宋体" w:cs="宋体"/>
          <w:b/>
          <w:bCs/>
          <w:color w:val="auto"/>
          <w:sz w:val="24"/>
          <w:szCs w:val="24"/>
          <w:highlight w:val="none"/>
          <w:lang w:val="en-US" w:eastAsia="zh-CN"/>
        </w:rPr>
        <w:t xml:space="preserve">最高</w:t>
      </w:r>
      <w:r>
        <w:rPr>
          <w:rFonts w:hint="eastAsia" w:ascii="宋体" w:hAnsi="宋体" w:eastAsia="宋体" w:cs="宋体"/>
          <w:color w:val="auto"/>
          <w:sz w:val="24"/>
          <w:szCs w:val="24"/>
          <w:highlight w:val="none"/>
        </w:rPr>
        <w:t xml:space="preserve">的价格为评标基准价，其他投标人的价格分按下列公式计算:(1-评标基准优惠率)/(1-投标优惠率)×</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bookmarkEnd w:id="297"/>
      <w:r/>
      <w:r/>
    </w:p>
    <w:p>
      <w:pPr>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注：（一）评审过程中出现下列情形之一的，评审委员会应当启动异常低价投标（响应）审查程序：</w:t>
      </w:r>
      <w:r/>
    </w:p>
    <w:p>
      <w:pPr>
        <w:ind w:firstLine="422"/>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1．投标（响应）报价低于采购项目预算50%的，即投标（响应）报价&lt;采购项目预算×50%；</w:t>
      </w:r>
      <w:r/>
    </w:p>
    <w:p>
      <w:pPr>
        <w:ind w:firstLine="422"/>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2．投标（响应）报价低于采购项目最高限价45%的，即投标（响应）报价&lt;采购项目最高限价×45%；</w:t>
      </w:r>
      <w:r/>
    </w:p>
    <w:p>
      <w:pPr>
        <w:ind w:firstLine="422"/>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3．评审委员会认定的</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报价过低、有可能影响产品质量或者不能诚信履约的其他情形。</w:t>
      </w:r>
      <w:r/>
    </w:p>
    <w:p>
      <w:pPr>
        <w:ind w:firstLine="422"/>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（二）启动异常低价投标（响应）审查后，评审委员会应当要求相关</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报价合理性进行判断。投标（响应）</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2、服务方案</w:t>
      </w:r>
      <w:r>
        <w:rPr>
          <w:rFonts w:hint="eastAsia" w:ascii="宋体" w:hAnsi="宋体" w:eastAsia="宋体" w:cs="宋体"/>
          <w:b/>
          <w:color w:val="auto"/>
          <w:sz w:val="24"/>
          <w:highlight w:val="none"/>
          <w:lang w:val="en-US" w:eastAsia="zh-CN"/>
        </w:rPr>
        <w:t xml:space="preserve">41分</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35"/>
        <w:gridCol w:w="1471"/>
        <w:gridCol w:w="777"/>
        <w:gridCol w:w="6649"/>
      </w:tblGrid>
      <w:tr>
        <w:trPr>
          <w:jc w:val="center"/>
          <w:trHeight w:val="312"/>
        </w:trPr>
        <w:tc>
          <w:tcPr>
            <w:shd w:val="clear" w:color="000000" w:fill="ffffff"/>
            <w:tcMar>
              <w:left w:w="108" w:type="dxa"/>
              <w:right w:w="108" w:type="dxa"/>
            </w:tcMar>
            <w:tcW w:w="8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序号</w:t>
            </w:r>
            <w:r/>
          </w:p>
        </w:tc>
        <w:tc>
          <w:tcPr>
            <w:shd w:val="clear" w:color="000000" w:fill="ffffff"/>
            <w:tcMar>
              <w:left w:w="108" w:type="dxa"/>
              <w:right w:w="108" w:type="dxa"/>
            </w:tcMar>
            <w:tcW w:w="147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评审因素</w:t>
            </w:r>
            <w:r/>
          </w:p>
        </w:tc>
        <w:tc>
          <w:tcPr>
            <w:shd w:val="clear" w:color="000000" w:fill="ffffff"/>
            <w:tcMar>
              <w:left w:w="108" w:type="dxa"/>
              <w:right w:w="108" w:type="dxa"/>
            </w:tcMar>
            <w:tcW w:w="7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权值</w:t>
            </w:r>
            <w:r/>
          </w:p>
        </w:tc>
        <w:tc>
          <w:tcPr>
            <w:shd w:val="clear" w:color="000000" w:fill="ffffff"/>
            <w:tcMar>
              <w:left w:w="108" w:type="dxa"/>
              <w:right w:w="108" w:type="dxa"/>
            </w:tcMar>
            <w:tcW w:w="664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评分标准</w:t>
            </w:r>
            <w:r/>
          </w:p>
        </w:tc>
      </w:tr>
      <w:tr>
        <w:trPr>
          <w:jc w:val="center"/>
          <w:trHeight w:val="636"/>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71"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rPr>
              <w:t xml:space="preserve">服务响应情况</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rPr>
              <w:t xml:space="preserve">9分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投标人承诺提供的服务全部满足招标文件要求（</w:t>
            </w:r>
            <w:r>
              <w:rPr>
                <w:rFonts w:hint="eastAsia" w:ascii="宋体" w:hAnsi="宋体" w:eastAsia="宋体" w:cs="宋体"/>
                <w:color w:val="auto"/>
                <w:sz w:val="24"/>
                <w:highlight w:val="none"/>
                <w:lang w:val="en-US" w:eastAsia="zh-CN"/>
              </w:rPr>
              <w:t xml:space="preserve">共9</w:t>
            </w:r>
            <w:r>
              <w:rPr>
                <w:rFonts w:hint="eastAsia" w:ascii="宋体" w:hAnsi="宋体" w:eastAsia="宋体" w:cs="宋体"/>
                <w:color w:val="auto"/>
                <w:sz w:val="24"/>
                <w:highlight w:val="none"/>
              </w:rPr>
              <w:t xml:space="preserve">条）的得基本分9分；有负偏离条款的，每条扣1分。</w:t>
            </w:r>
            <w:r/>
          </w:p>
        </w:tc>
      </w:tr>
      <w:tr>
        <w:trPr>
          <w:jc w:val="center"/>
          <w:trHeight w:val="1695"/>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项目理解认知</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根据投标人对</w:t>
            </w:r>
            <w:r>
              <w:rPr>
                <w:rFonts w:hint="eastAsia" w:ascii="宋体" w:hAnsi="宋体" w:eastAsia="宋体" w:cs="宋体"/>
                <w:b/>
                <w:bCs/>
                <w:color w:val="auto"/>
                <w:sz w:val="24"/>
                <w:szCs w:val="24"/>
                <w:highlight w:val="none"/>
              </w:rPr>
              <w:t xml:space="preserve">项目理解认知（涉及评审要点（共</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项）①</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相关</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政策、②工作内容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③工作目标</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体现上述评审要点且内容贴合需求的，每有一项得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分；体现上述评审要点但内容无法完全贴合需求的，每有一项得1分；</w:t>
            </w:r>
            <w:r>
              <w:rPr>
                <w:rFonts w:hint="eastAsia" w:ascii="宋体" w:hAnsi="宋体" w:eastAsia="宋体" w:cs="宋体"/>
                <w:bCs/>
                <w:color w:val="auto"/>
                <w:sz w:val="24"/>
                <w:szCs w:val="24"/>
                <w:highlight w:val="none"/>
              </w:rPr>
              <w:t xml:space="preserve">不合理或者严重缺失的得0分。</w:t>
            </w:r>
            <w:r/>
          </w:p>
        </w:tc>
      </w:tr>
      <w:tr>
        <w:trPr>
          <w:jc w:val="center"/>
          <w:trHeight w:val="1975"/>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技术问题、重难点分析及应对措施</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根据投标人对本项目</w:t>
            </w:r>
            <w:r>
              <w:rPr>
                <w:rFonts w:hint="eastAsia" w:ascii="宋体" w:hAnsi="宋体" w:eastAsia="宋体" w:cs="宋体"/>
                <w:b/>
                <w:bCs/>
                <w:color w:val="auto"/>
                <w:sz w:val="24"/>
                <w:szCs w:val="24"/>
                <w:highlight w:val="none"/>
              </w:rPr>
              <w:t xml:space="preserve">技术问题</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重难点分析及应对措施（涉及评审要点（共</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项）①土地征收成片开发方案编制及调整、②项目用地涉及的增减挂钩实施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③独立选址项目用地报批、④城镇建设用地报批</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体现上述评审要点且内容贴合需求的，每有一项得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分；体现上述评审要点但内容无法完全贴合需求的，每有一项得1分；</w:t>
            </w:r>
            <w:r>
              <w:rPr>
                <w:rFonts w:hint="eastAsia" w:ascii="宋体" w:hAnsi="宋体" w:eastAsia="宋体" w:cs="宋体"/>
                <w:bCs/>
                <w:color w:val="auto"/>
                <w:sz w:val="24"/>
                <w:szCs w:val="24"/>
                <w:highlight w:val="none"/>
              </w:rPr>
              <w:t xml:space="preserve">不合理或者严重缺失的得0分。</w:t>
            </w:r>
            <w:r/>
          </w:p>
        </w:tc>
      </w:tr>
      <w:tr>
        <w:trPr>
          <w:jc w:val="center"/>
          <w:trHeight w:val="6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rPr>
              <w:t xml:space="preserve">项目实施组织方案（涉及评审要点（共</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项）①土地征收成片开发方案、②用地报批</w:t>
            </w:r>
            <w:r>
              <w:rPr>
                <w:rFonts w:hint="eastAsia" w:ascii="宋体" w:hAnsi="宋体" w:eastAsia="宋体" w:cs="宋体"/>
                <w:b/>
                <w:bCs/>
                <w:color w:val="auto"/>
                <w:sz w:val="24"/>
                <w:szCs w:val="24"/>
                <w:highlight w:val="none"/>
                <w:lang w:val="en-US" w:eastAsia="zh-CN"/>
              </w:rPr>
              <w:t xml:space="preserve">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③</w:t>
            </w:r>
            <w:r>
              <w:rPr>
                <w:rFonts w:hint="eastAsia" w:ascii="宋体" w:hAnsi="宋体" w:eastAsia="宋体" w:cs="宋体"/>
                <w:b/>
                <w:bCs/>
                <w:color w:val="auto"/>
                <w:sz w:val="24"/>
                <w:szCs w:val="24"/>
                <w:highlight w:val="none"/>
              </w:rPr>
              <w:t xml:space="preserve">增减挂钩实施方案）</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体现上述评审要点且内容贴合需求的，每有一项得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分；体现上述评审要点但内容无法完全贴合需求的，每有一项得1分；</w:t>
            </w:r>
            <w:r>
              <w:rPr>
                <w:rFonts w:hint="eastAsia" w:ascii="宋体" w:hAnsi="宋体" w:eastAsia="宋体" w:cs="宋体"/>
                <w:bCs/>
                <w:color w:val="auto"/>
                <w:sz w:val="24"/>
                <w:szCs w:val="24"/>
                <w:highlight w:val="none"/>
              </w:rPr>
              <w:t xml:space="preserve">不合理或者严重缺失的得0分。</w:t>
            </w:r>
            <w:r/>
          </w:p>
        </w:tc>
      </w:tr>
      <w:tr>
        <w:trPr>
          <w:jc w:val="center"/>
          <w:trHeight w:val="23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项目进度</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rPr>
              <w:t xml:space="preserve">项目进度控制方案（涉及评审要点（共</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项）①</w:t>
            </w:r>
            <w:r>
              <w:rPr>
                <w:rFonts w:hint="eastAsia" w:ascii="宋体" w:hAnsi="宋体" w:eastAsia="宋体" w:cs="宋体"/>
                <w:b/>
                <w:bCs/>
                <w:color w:val="auto"/>
                <w:sz w:val="24"/>
                <w:szCs w:val="24"/>
                <w:highlight w:val="none"/>
                <w:lang w:val="en-US" w:eastAsia="zh-CN"/>
              </w:rPr>
              <w:t xml:space="preserve">阶段性</w:t>
            </w:r>
            <w:r>
              <w:rPr>
                <w:rFonts w:hint="eastAsia" w:ascii="宋体" w:hAnsi="宋体" w:eastAsia="宋体" w:cs="宋体"/>
                <w:b/>
                <w:bCs/>
                <w:color w:val="auto"/>
                <w:sz w:val="24"/>
                <w:szCs w:val="24"/>
                <w:highlight w:val="none"/>
              </w:rPr>
              <w:t xml:space="preserve">进度安排、②</w:t>
            </w:r>
            <w:r>
              <w:rPr>
                <w:rFonts w:hint="eastAsia" w:ascii="宋体" w:hAnsi="宋体" w:cs="宋体"/>
                <w:b/>
                <w:bCs/>
                <w:color w:val="auto"/>
                <w:sz w:val="24"/>
                <w:szCs w:val="24"/>
                <w:highlight w:val="none"/>
                <w:lang w:val="en-US" w:eastAsia="zh-CN"/>
              </w:rPr>
              <w:t xml:space="preserve">控制</w:t>
            </w:r>
            <w:r>
              <w:rPr>
                <w:rFonts w:hint="eastAsia" w:ascii="宋体" w:hAnsi="宋体" w:eastAsia="宋体" w:cs="宋体"/>
                <w:b/>
                <w:bCs/>
                <w:color w:val="auto"/>
                <w:sz w:val="24"/>
                <w:szCs w:val="24"/>
                <w:highlight w:val="none"/>
              </w:rPr>
              <w:t xml:space="preserve">措施）</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体现上述评审要点且内容贴合需求的，每有一项得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分；体现上述评审要点但内容无法完全贴合需求的，每有一项得1分；</w:t>
            </w:r>
            <w:r>
              <w:rPr>
                <w:rFonts w:hint="eastAsia" w:ascii="宋体" w:hAnsi="宋体" w:eastAsia="宋体" w:cs="宋体"/>
                <w:bCs/>
                <w:color w:val="auto"/>
                <w:sz w:val="24"/>
                <w:szCs w:val="24"/>
                <w:highlight w:val="none"/>
              </w:rPr>
              <w:t xml:space="preserve">不合理或者严重缺失的得0分。</w:t>
            </w:r>
            <w:r/>
          </w:p>
        </w:tc>
      </w:tr>
      <w:tr>
        <w:trPr>
          <w:jc w:val="center"/>
          <w:trHeight w:val="84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保障措施</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rPr>
              <w:t xml:space="preserve">项目实施保障措施（涉及评审要点（共</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项）①技术质量保障措施、②安全保密措施）</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体现上述评审要点且内容贴合需求的，每有一项得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分；体现上述评审要点但内容无法完全贴合需求的，每有一项得1分；</w:t>
            </w:r>
            <w:r>
              <w:rPr>
                <w:rFonts w:hint="eastAsia" w:ascii="宋体" w:hAnsi="宋体" w:eastAsia="宋体" w:cs="宋体"/>
                <w:bCs/>
                <w:color w:val="auto"/>
                <w:sz w:val="24"/>
                <w:szCs w:val="24"/>
                <w:highlight w:val="none"/>
              </w:rPr>
              <w:t xml:space="preserve">不合理或者严重缺失的得0分。</w:t>
            </w:r>
            <w:r/>
          </w:p>
        </w:tc>
      </w:tr>
      <w:tr>
        <w:trPr>
          <w:jc w:val="center"/>
          <w:trHeight w:val="205"/>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项目售后服务（延伸服务）</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rPr>
              <w:t xml:space="preserve">项目售后服务（延伸服务）</w:t>
            </w:r>
            <w:r>
              <w:rPr>
                <w:rFonts w:hint="eastAsia" w:ascii="宋体" w:hAnsi="宋体" w:eastAsia="宋体" w:cs="宋体"/>
                <w:color w:val="auto"/>
                <w:sz w:val="24"/>
                <w:szCs w:val="24"/>
                <w:highlight w:val="none"/>
              </w:rPr>
              <w:t xml:space="preserve">进行综合评定：</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科学合理、切实可行、全面完善的得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分；方案笼统但基本可行的得1分；未提供或者严重缺失的得0分。</w:t>
            </w:r>
            <w:r/>
          </w:p>
        </w:tc>
      </w:tr>
      <w:tr>
        <w:trPr>
          <w:jc w:val="center"/>
          <w:trHeight w:val="205"/>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5"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71" w:type="dxa"/>
            <w:vAlign w:val="center"/>
            <w:textDirection w:val="lrTb"/>
            <w:noWrap w:val="false"/>
          </w:tcPr>
          <w:p>
            <w:pPr>
              <w:jc w:val="center"/>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服务响应时间</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spacing w:after="0" w:line="2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spacing w:after="0"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根据投标人针对本项目提供的服务响应时间进行评定：投标人承诺项目中标后，在接到采购人书面或口头通知工作指令后能在1小时内响应的，得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分；能在2小时内响应的，得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注：投标文件中须提供承诺书（格式自拟），未提供的或超过2小时响应的不得分。</w:t>
            </w:r>
            <w:r/>
          </w:p>
        </w:tc>
      </w:tr>
    </w:tbl>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3、人员配置</w:t>
      </w:r>
      <w:r>
        <w:rPr>
          <w:rFonts w:hint="eastAsia" w:ascii="宋体" w:hAnsi="宋体" w:eastAsia="宋体" w:cs="宋体"/>
          <w:b/>
          <w:color w:val="auto"/>
          <w:sz w:val="24"/>
          <w:highlight w:val="none"/>
          <w:lang w:val="en-US" w:eastAsia="zh-CN"/>
        </w:rPr>
        <w:t xml:space="preserve">及20</w:t>
      </w:r>
      <w:r>
        <w:rPr>
          <w:rFonts w:hint="eastAsia" w:ascii="宋体" w:hAnsi="宋体" w:eastAsia="宋体" w:cs="宋体"/>
          <w:b/>
          <w:color w:val="auto"/>
          <w:sz w:val="24"/>
          <w:highlight w:val="none"/>
        </w:rPr>
        <w:t xml:space="preserve">分</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35"/>
        <w:gridCol w:w="1471"/>
        <w:gridCol w:w="777"/>
        <w:gridCol w:w="6649"/>
      </w:tblGrid>
      <w:tr>
        <w:trPr>
          <w:jc w:val="center"/>
          <w:trHeight w:val="312"/>
        </w:trPr>
        <w:tc>
          <w:tcPr>
            <w:shd w:val="clear" w:color="000000" w:fill="ffffff"/>
            <w:tcMar>
              <w:left w:w="108" w:type="dxa"/>
              <w:right w:w="108" w:type="dxa"/>
            </w:tcMar>
            <w:tcW w:w="8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序号</w:t>
            </w:r>
            <w:r/>
          </w:p>
        </w:tc>
        <w:tc>
          <w:tcPr>
            <w:shd w:val="clear" w:color="000000" w:fill="ffffff"/>
            <w:tcMar>
              <w:left w:w="108" w:type="dxa"/>
              <w:right w:w="108" w:type="dxa"/>
            </w:tcMar>
            <w:tcW w:w="147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评审因素</w:t>
            </w:r>
            <w:r/>
          </w:p>
        </w:tc>
        <w:tc>
          <w:tcPr>
            <w:shd w:val="clear" w:color="000000" w:fill="ffffff"/>
            <w:tcMar>
              <w:left w:w="108" w:type="dxa"/>
              <w:right w:w="108" w:type="dxa"/>
            </w:tcMar>
            <w:tcW w:w="7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权值</w:t>
            </w:r>
            <w:r/>
          </w:p>
        </w:tc>
        <w:tc>
          <w:tcPr>
            <w:shd w:val="clear" w:color="000000" w:fill="ffffff"/>
            <w:tcMar>
              <w:left w:w="108" w:type="dxa"/>
              <w:right w:w="108" w:type="dxa"/>
            </w:tcMar>
            <w:tcW w:w="664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评分标准</w:t>
            </w:r>
            <w:r/>
          </w:p>
        </w:tc>
      </w:tr>
      <w:tr>
        <w:trPr>
          <w:jc w:val="center"/>
          <w:trHeight w:val="1312"/>
        </w:trPr>
        <w:tc>
          <w:tcPr>
            <w:shd w:val="clear" w:color="000000" w:fill="ffffff"/>
            <w:tcMar>
              <w:left w:w="108" w:type="dxa"/>
              <w:right w:w="108" w:type="dxa"/>
            </w:tcMar>
            <w:tcW w:w="8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w:t>
            </w:r>
            <w:r/>
          </w:p>
        </w:tc>
        <w:tc>
          <w:tcPr>
            <w:shd w:val="clear" w:color="000000" w:fill="ffffff"/>
            <w:tcMar>
              <w:left w:w="108" w:type="dxa"/>
              <w:right w:w="108" w:type="dxa"/>
            </w:tcMar>
            <w:tcW w:w="14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shd w:val="clear" w:color="000000" w:fill="ffffff"/>
            <w:tcMar>
              <w:left w:w="108" w:type="dxa"/>
              <w:right w:w="108" w:type="dxa"/>
            </w:tcMar>
            <w:tcW w:w="77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shd w:val="clear" w:color="000000" w:fill="ffffff"/>
            <w:tcMar>
              <w:left w:w="108" w:type="dxa"/>
              <w:right w:w="108" w:type="dxa"/>
            </w:tcMar>
            <w:tcW w:w="664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lang w:val="en-US" w:eastAsia="zh-CN"/>
              </w:rPr>
              <w:t xml:space="preserve">拟派的</w:t>
            </w:r>
            <w:r>
              <w:rPr>
                <w:rFonts w:hint="eastAsia" w:ascii="宋体" w:hAnsi="宋体" w:eastAsia="宋体" w:cs="宋体"/>
                <w:b/>
                <w:bCs/>
                <w:color w:val="auto"/>
                <w:sz w:val="24"/>
                <w:highlight w:val="none"/>
              </w:rPr>
              <w:t xml:space="preserve">项目负责人</w:t>
            </w:r>
            <w:r>
              <w:rPr>
                <w:rFonts w:hint="eastAsia" w:ascii="宋体" w:hAnsi="宋体" w:eastAsia="宋体" w:cs="宋体"/>
                <w:color w:val="auto"/>
                <w:sz w:val="24"/>
                <w:highlight w:val="none"/>
              </w:rPr>
              <w:t xml:space="preserve">具有土地类相关专业（相关专业包括土地资源管理、土地规划、地理信息系统、人文地理与城乡规划）高级及以上职称的得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分；中级职称的得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其余</w:t>
            </w:r>
            <w:r>
              <w:rPr>
                <w:rFonts w:hint="eastAsia" w:ascii="宋体" w:hAnsi="宋体" w:eastAsia="宋体" w:cs="宋体"/>
                <w:color w:val="auto"/>
                <w:sz w:val="24"/>
                <w:highlight w:val="none"/>
              </w:rPr>
              <w:t xml:space="preserve">不得分。</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注：投标文件提供人员相关证书及投标人为其缴纳的近三个月内任意一个月的社保证明扫描件，未提供的不得分。</w:t>
            </w:r>
            <w:r/>
          </w:p>
        </w:tc>
      </w:tr>
      <w:tr>
        <w:trPr>
          <w:jc w:val="center"/>
          <w:trHeight w:val="391"/>
        </w:trPr>
        <w:tc>
          <w:tcPr>
            <w:shd w:val="clear" w:color="000000" w:fill="ffffff"/>
            <w:tcMar>
              <w:left w:w="108" w:type="dxa"/>
              <w:right w:w="108" w:type="dxa"/>
            </w:tcMar>
            <w:tcW w:w="8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000000" w:fill="ffffff"/>
            <w:tcMar>
              <w:left w:w="108" w:type="dxa"/>
              <w:right w:w="108" w:type="dxa"/>
            </w:tcMar>
            <w:tcW w:w="14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项目组其他成员</w:t>
            </w:r>
            <w:r/>
          </w:p>
        </w:tc>
        <w:tc>
          <w:tcPr>
            <w:shd w:val="clear" w:color="000000" w:fill="ffffff"/>
            <w:tcMar>
              <w:left w:w="108" w:type="dxa"/>
              <w:right w:w="108" w:type="dxa"/>
            </w:tcMar>
            <w:tcW w:w="77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分</w:t>
            </w:r>
            <w:r/>
          </w:p>
        </w:tc>
        <w:tc>
          <w:tcPr>
            <w:shd w:val="clear" w:color="000000" w:fill="ffffff"/>
            <w:tcMar>
              <w:left w:w="108" w:type="dxa"/>
              <w:right w:w="108" w:type="dxa"/>
            </w:tcMar>
            <w:tcW w:w="6649"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根据</w:t>
            </w:r>
            <w:r>
              <w:rPr>
                <w:rFonts w:hint="eastAsia" w:ascii="宋体" w:hAnsi="宋体" w:eastAsia="宋体" w:cs="宋体"/>
                <w:color w:val="auto"/>
                <w:sz w:val="24"/>
                <w:highlight w:val="none"/>
                <w:lang w:val="en-US" w:eastAsia="zh-CN"/>
              </w:rPr>
              <w:t xml:space="preserve">拟派的</w:t>
            </w:r>
            <w:r>
              <w:rPr>
                <w:rFonts w:hint="eastAsia" w:ascii="宋体" w:hAnsi="宋体" w:eastAsia="宋体" w:cs="宋体"/>
                <w:color w:val="auto"/>
                <w:sz w:val="24"/>
                <w:highlight w:val="none"/>
              </w:rPr>
              <w:t xml:space="preserve">项目组成员（除项目负责人）进行综合评定</w:t>
            </w:r>
            <w:r>
              <w:rPr>
                <w:rFonts w:hint="eastAsia" w:ascii="宋体" w:hAnsi="宋体" w:cs="宋体"/>
                <w:color w:val="auto"/>
                <w:sz w:val="24"/>
                <w:highlight w:val="none"/>
                <w:lang w:eastAsia="zh-CN"/>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（1）具备相关专业（相关专业包括土地资源管理、土地规划、地理信息系统、人文地理与城乡规划）且为本科及以上学历的，每有1人得1分，最高得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（2）具有土地资源管理、地理信息系统、测绘、城乡规划等相关专业且具备中级及以上职称，每有1人得1分，最高得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本大项最高得</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分，没有的不得分。</w:t>
            </w:r>
            <w:r/>
          </w:p>
          <w:p>
            <w:p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注：①投标文件提供人员相关证书及投标人为其缴纳的近三个月内任意一个月的社保证明扫描件，未提供的不得分。②专业以毕业证或者职称证为准。</w:t>
            </w:r>
            <w:r>
              <w:rPr>
                <w:rFonts w:hint="eastAsia" w:ascii="宋体" w:hAnsi="宋体" w:cs="宋体"/>
                <w:b/>
                <w:color w:val="auto"/>
                <w:sz w:val="24"/>
                <w:highlight w:val="none"/>
                <w:lang w:val="en-US" w:eastAsia="zh-CN"/>
              </w:rPr>
              <w:t xml:space="preserve">③同一人员提供多个学位证明或多个级别职称的，不累计加分，以最高级别计算。</w:t>
            </w:r>
            <w:r/>
          </w:p>
        </w:tc>
      </w:tr>
    </w:tbl>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4、综合实力</w:t>
      </w:r>
      <w:r>
        <w:rPr>
          <w:rFonts w:hint="eastAsia" w:ascii="宋体" w:hAnsi="宋体" w:eastAsia="宋体" w:cs="宋体"/>
          <w:b/>
          <w:color w:val="auto"/>
          <w:sz w:val="24"/>
          <w:highlight w:val="none"/>
          <w:lang w:val="en-US" w:eastAsia="zh-CN"/>
        </w:rPr>
        <w:t xml:space="preserve">14</w:t>
      </w:r>
      <w:r>
        <w:rPr>
          <w:rFonts w:hint="eastAsia" w:ascii="宋体" w:hAnsi="宋体" w:eastAsia="宋体" w:cs="宋体"/>
          <w:b/>
          <w:color w:val="auto"/>
          <w:sz w:val="24"/>
          <w:highlight w:val="none"/>
        </w:rPr>
        <w:t xml:space="preserve">分</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35"/>
        <w:gridCol w:w="1471"/>
        <w:gridCol w:w="777"/>
        <w:gridCol w:w="6649"/>
      </w:tblGrid>
      <w:tr>
        <w:trPr>
          <w:jc w:val="center"/>
          <w:trHeight w:val="312"/>
        </w:trPr>
        <w:tc>
          <w:tcPr>
            <w:shd w:val="clear" w:color="000000" w:fill="ffffff"/>
            <w:tcMar>
              <w:left w:w="108" w:type="dxa"/>
              <w:right w:w="108" w:type="dxa"/>
            </w:tcMar>
            <w:tcW w:w="8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序号</w:t>
            </w:r>
            <w:r/>
          </w:p>
        </w:tc>
        <w:tc>
          <w:tcPr>
            <w:shd w:val="clear" w:color="000000" w:fill="ffffff"/>
            <w:tcMar>
              <w:left w:w="108" w:type="dxa"/>
              <w:right w:w="108" w:type="dxa"/>
            </w:tcMar>
            <w:tcW w:w="147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评审因素</w:t>
            </w:r>
            <w:r/>
          </w:p>
        </w:tc>
        <w:tc>
          <w:tcPr>
            <w:shd w:val="clear" w:color="000000" w:fill="ffffff"/>
            <w:tcMar>
              <w:left w:w="108" w:type="dxa"/>
              <w:right w:w="108" w:type="dxa"/>
            </w:tcMar>
            <w:tcW w:w="7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权值</w:t>
            </w:r>
            <w:r/>
          </w:p>
        </w:tc>
        <w:tc>
          <w:tcPr>
            <w:shd w:val="clear" w:color="000000" w:fill="ffffff"/>
            <w:tcMar>
              <w:left w:w="108" w:type="dxa"/>
              <w:right w:w="108" w:type="dxa"/>
            </w:tcMar>
            <w:tcW w:w="664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评分标准</w:t>
            </w:r>
            <w:r/>
          </w:p>
        </w:tc>
      </w:tr>
      <w:tr>
        <w:trPr>
          <w:jc w:val="center"/>
          <w:trHeight w:val="841"/>
        </w:trPr>
        <w:tc>
          <w:tcPr>
            <w:shd w:val="clear" w:color="000000" w:fill="ffffff"/>
            <w:tcMar>
              <w:left w:w="108" w:type="dxa"/>
              <w:right w:w="108" w:type="dxa"/>
            </w:tcMar>
            <w:tcW w:w="8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w:t>
            </w:r>
            <w:r/>
          </w:p>
        </w:tc>
        <w:tc>
          <w:tcPr>
            <w:shd w:val="clear" w:color="000000" w:fill="ffffff"/>
            <w:tcMar>
              <w:left w:w="108" w:type="dxa"/>
              <w:right w:w="108" w:type="dxa"/>
            </w:tcMar>
            <w:tcW w:w="147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商务条件响应性</w:t>
            </w:r>
            <w:r/>
          </w:p>
        </w:tc>
        <w:tc>
          <w:tcPr>
            <w:shd w:val="clear" w:color="000000" w:fill="ffffff"/>
            <w:tcMar>
              <w:left w:w="108" w:type="dxa"/>
              <w:right w:w="108" w:type="dxa"/>
            </w:tcMar>
            <w:tcW w:w="777" w:type="dxa"/>
            <w:vAlign w:val="center"/>
            <w:textDirection w:val="lrTb"/>
            <w:noWrap w:val="false"/>
          </w:tcPr>
          <w:p>
            <w:pPr>
              <w:jc w:val="center"/>
              <w:spacing w:line="240" w:lineRule="atLeas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000000" w:fill="ffffff"/>
            <w:tcMar>
              <w:left w:w="108" w:type="dxa"/>
              <w:right w:w="108" w:type="dxa"/>
            </w:tcMar>
            <w:tcW w:w="6649" w:type="dxa"/>
            <w:vAlign w:val="center"/>
            <w:textDirection w:val="lrTb"/>
            <w:noWrap w:val="false"/>
          </w:tcPr>
          <w:p>
            <w:pPr>
              <w:spacing w:line="240" w:lineRule="atLeas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投标人对招标文件中合同条款等商务条件完全响应的得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分（共25条）；有负偏离条款，每项扣0.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分；扣完为止。</w:t>
            </w:r>
            <w:r>
              <w:rPr>
                <w:rFonts w:hint="eastAsia" w:ascii="宋体" w:hAnsi="宋体" w:eastAsia="宋体" w:cs="宋体"/>
                <w:b/>
                <w:bCs/>
                <w:color w:val="auto"/>
                <w:sz w:val="24"/>
                <w:szCs w:val="24"/>
                <w:highlight w:val="none"/>
              </w:rPr>
              <w:t xml:space="preserve">（付款方式必须完全响应，</w:t>
            </w:r>
            <w:r>
              <w:rPr>
                <w:rFonts w:hint="eastAsia" w:ascii="宋体" w:hAnsi="宋体" w:eastAsia="宋体" w:cs="宋体"/>
                <w:b/>
                <w:color w:val="auto"/>
                <w:sz w:val="24"/>
                <w:szCs w:val="24"/>
                <w:highlight w:val="none"/>
              </w:rPr>
              <w:t xml:space="preserve">否则将作</w:t>
            </w:r>
            <w:r>
              <w:rPr>
                <w:rFonts w:hint="eastAsia" w:ascii="宋体" w:hAnsi="宋体" w:eastAsia="宋体" w:cs="宋体"/>
                <w:b/>
                <w:color w:val="auto"/>
                <w:sz w:val="24"/>
                <w:szCs w:val="24"/>
                <w:highlight w:val="none"/>
                <w:lang w:val="zh-CN"/>
              </w:rPr>
              <w:t xml:space="preserve">无效投标处理</w:t>
            </w:r>
            <w:r>
              <w:rPr>
                <w:rFonts w:hint="eastAsia" w:ascii="宋体" w:hAnsi="宋体" w:eastAsia="宋体" w:cs="宋体"/>
                <w:b/>
                <w:bCs/>
                <w:color w:val="auto"/>
                <w:sz w:val="24"/>
                <w:szCs w:val="24"/>
                <w:highlight w:val="none"/>
              </w:rPr>
              <w:t xml:space="preserve">）</w:t>
            </w:r>
            <w:r/>
          </w:p>
        </w:tc>
      </w:tr>
      <w:tr>
        <w:trPr>
          <w:jc w:val="center"/>
          <w:trHeight w:val="841"/>
        </w:trPr>
        <w:tc>
          <w:tcPr>
            <w:shd w:val="clear" w:color="000000" w:fill="ffffff"/>
            <w:tcMar>
              <w:left w:w="108" w:type="dxa"/>
              <w:right w:w="108" w:type="dxa"/>
            </w:tcMar>
            <w:tcW w:w="8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000000" w:fill="ffffff"/>
            <w:tcMar>
              <w:left w:w="108" w:type="dxa"/>
              <w:right w:w="108" w:type="dxa"/>
            </w:tcMar>
            <w:tcW w:w="1471" w:type="dxa"/>
            <w:vAlign w:val="center"/>
            <w:textDirection w:val="lrTb"/>
            <w:noWrap w:val="false"/>
          </w:tcPr>
          <w:p>
            <w:pPr>
              <w:jc w:val="cente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业绩情况</w:t>
            </w:r>
            <w:r/>
          </w:p>
        </w:tc>
        <w:tc>
          <w:tcPr>
            <w:shd w:val="clear" w:color="000000" w:fill="ffffff"/>
            <w:tcMar>
              <w:left w:w="108" w:type="dxa"/>
              <w:right w:w="108" w:type="dxa"/>
            </w:tcMar>
            <w:tcW w:w="777" w:type="dxa"/>
            <w:vAlign w:val="center"/>
            <w:textDirection w:val="lrTb"/>
            <w:noWrap w:val="false"/>
          </w:tcPr>
          <w:p>
            <w:pPr>
              <w:jc w:val="cente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shd w:val="clear" w:color="000000" w:fill="ffffff"/>
            <w:tcMar>
              <w:left w:w="108" w:type="dxa"/>
              <w:right w:w="108" w:type="dxa"/>
            </w:tcMar>
            <w:tcW w:w="6649" w:type="dxa"/>
            <w:vAlign w:val="center"/>
            <w:textDirection w:val="lrTb"/>
            <w:noWrap w:val="false"/>
          </w:tcPr>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（1）根据投标人自202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年1月1日至今（以合同签订日期为准）完成的</w:t>
            </w:r>
            <w:r>
              <w:rPr>
                <w:rFonts w:hint="eastAsia" w:ascii="宋体" w:hAnsi="宋体" w:eastAsia="宋体" w:cs="宋体"/>
                <w:b/>
                <w:color w:val="auto"/>
                <w:sz w:val="24"/>
                <w:highlight w:val="none"/>
              </w:rPr>
              <w:t xml:space="preserve">土地征收成片开发</w:t>
            </w:r>
            <w:r>
              <w:rPr>
                <w:rFonts w:hint="eastAsia" w:ascii="宋体" w:hAnsi="宋体" w:eastAsia="宋体" w:cs="宋体"/>
                <w:b/>
                <w:color w:val="auto"/>
                <w:sz w:val="24"/>
                <w:highlight w:val="none"/>
                <w:lang w:val="en-US" w:eastAsia="zh-CN"/>
              </w:rPr>
              <w:t xml:space="preserve">方案编制或调整</w:t>
            </w:r>
            <w:r>
              <w:rPr>
                <w:rFonts w:hint="eastAsia" w:ascii="宋体" w:hAnsi="宋体" w:eastAsia="宋体" w:cs="宋体"/>
                <w:color w:val="auto"/>
                <w:sz w:val="24"/>
                <w:highlight w:val="none"/>
              </w:rPr>
              <w:t xml:space="preserve">业绩情况进行评定，有一个得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分。没有的不得分。</w:t>
            </w:r>
            <w:r/>
          </w:p>
          <w:p>
            <w:pPr>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（2）根据投标人自202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年1月1日至今（以合同签订日期为准）完成的</w:t>
            </w:r>
            <w:r>
              <w:rPr>
                <w:rFonts w:hint="eastAsia" w:ascii="宋体" w:hAnsi="宋体" w:eastAsia="宋体" w:cs="宋体"/>
                <w:b/>
                <w:color w:val="auto"/>
                <w:sz w:val="24"/>
                <w:highlight w:val="none"/>
              </w:rPr>
              <w:t xml:space="preserve">增减挂钩实施</w:t>
            </w:r>
            <w:r>
              <w:rPr>
                <w:rFonts w:hint="eastAsia" w:ascii="宋体" w:hAnsi="宋体" w:eastAsia="宋体" w:cs="宋体"/>
                <w:b/>
                <w:color w:val="auto"/>
                <w:sz w:val="24"/>
                <w:highlight w:val="none"/>
                <w:lang w:val="en-US" w:eastAsia="zh-CN"/>
              </w:rPr>
              <w:t xml:space="preserve">方案报批</w:t>
            </w:r>
            <w:r>
              <w:rPr>
                <w:rFonts w:hint="eastAsia" w:ascii="宋体" w:hAnsi="宋体" w:eastAsia="宋体" w:cs="宋体"/>
                <w:color w:val="auto"/>
                <w:sz w:val="24"/>
                <w:highlight w:val="none"/>
              </w:rPr>
              <w:t xml:space="preserve">业绩情况进行评定，有一个得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分。没有的不得分。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（3）根据投标人自202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年1月1日至今（以合同签订日期为准）完成的</w:t>
            </w:r>
            <w:r>
              <w:rPr>
                <w:rFonts w:hint="eastAsia" w:ascii="宋体" w:hAnsi="宋体" w:eastAsia="宋体" w:cs="宋体"/>
                <w:b/>
                <w:color w:val="auto"/>
                <w:sz w:val="24"/>
                <w:highlight w:val="none"/>
              </w:rPr>
              <w:t xml:space="preserve">独立选址</w:t>
            </w:r>
            <w:r>
              <w:rPr>
                <w:rFonts w:hint="eastAsia" w:ascii="宋体" w:hAnsi="宋体" w:eastAsia="宋体" w:cs="宋体"/>
                <w:b/>
                <w:color w:val="auto"/>
                <w:sz w:val="24"/>
                <w:highlight w:val="none"/>
                <w:lang w:val="en-US" w:eastAsia="zh-CN"/>
              </w:rPr>
              <w:t xml:space="preserve">项目</w:t>
            </w:r>
            <w:r>
              <w:rPr>
                <w:rFonts w:hint="eastAsia" w:ascii="宋体" w:hAnsi="宋体" w:eastAsia="宋体" w:cs="宋体"/>
                <w:b/>
                <w:color w:val="auto"/>
                <w:sz w:val="24"/>
                <w:highlight w:val="none"/>
              </w:rPr>
              <w:t xml:space="preserve">用地报批</w:t>
            </w:r>
            <w:r>
              <w:rPr>
                <w:rFonts w:hint="eastAsia" w:ascii="宋体" w:hAnsi="宋体" w:eastAsia="宋体" w:cs="宋体"/>
                <w:color w:val="auto"/>
                <w:sz w:val="24"/>
                <w:highlight w:val="none"/>
              </w:rPr>
              <w:t xml:space="preserve">业绩情况进行评定，有一个得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分。没有的不得分。</w:t>
            </w:r>
            <w:r/>
          </w:p>
          <w:p>
            <w:pPr>
              <w:spacing w:line="276"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color w:val="auto"/>
                <w:sz w:val="24"/>
                <w:highlight w:val="none"/>
              </w:rPr>
              <w:t xml:space="preserve">根据投标人自202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年1月1日至今（以合同签订日期为准）完成的</w:t>
            </w:r>
            <w:r>
              <w:rPr>
                <w:rFonts w:hint="eastAsia" w:ascii="宋体" w:hAnsi="宋体" w:eastAsia="宋体" w:cs="宋体"/>
                <w:b/>
                <w:bCs/>
                <w:color w:val="auto"/>
                <w:sz w:val="24"/>
                <w:highlight w:val="none"/>
                <w:lang w:val="en-US" w:eastAsia="zh-CN"/>
              </w:rPr>
              <w:t xml:space="preserve">城镇建设</w:t>
            </w:r>
            <w:r>
              <w:rPr>
                <w:rFonts w:hint="eastAsia" w:ascii="宋体" w:hAnsi="宋体" w:eastAsia="宋体" w:cs="宋体"/>
                <w:b/>
                <w:color w:val="auto"/>
                <w:sz w:val="24"/>
                <w:highlight w:val="none"/>
              </w:rPr>
              <w:t xml:space="preserve">用地报批</w:t>
            </w:r>
            <w:r>
              <w:rPr>
                <w:rFonts w:hint="eastAsia" w:ascii="宋体" w:hAnsi="宋体" w:eastAsia="宋体" w:cs="宋体"/>
                <w:color w:val="auto"/>
                <w:sz w:val="24"/>
                <w:highlight w:val="none"/>
              </w:rPr>
              <w:t xml:space="preserve">业绩情况进行评定，有一个得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分。没有的不得分。</w:t>
            </w:r>
            <w:r/>
          </w:p>
          <w:p>
            <w:pPr>
              <w:spacing w:line="276"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lang w:eastAsia="zh-CN"/>
              </w:rPr>
              <w:t xml:space="preserve">投标文件</w:t>
            </w:r>
            <w:r>
              <w:rPr>
                <w:rFonts w:hint="eastAsia" w:ascii="宋体" w:hAnsi="宋体" w:eastAsia="宋体" w:cs="宋体"/>
                <w:b/>
                <w:color w:val="auto"/>
                <w:sz w:val="24"/>
                <w:highlight w:val="none"/>
              </w:rPr>
              <w:t xml:space="preserve">中须提供项目合同的证明材料，内容至少包括合同首页、标的金额所在页、签字盖章页等，未提供的不得分。</w:t>
            </w:r>
            <w:r/>
          </w:p>
        </w:tc>
      </w:tr>
    </w:tbl>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注：（1）上述投标文件中提供的相关证明材料需为清晰完整的彩色扫描件（照片），如存在扫描件（照片）无效、不清晰、不完整等情形使得评委会无法准确评审的，相关评审风险由投标人自行承担。</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（2）投标人在制作投标文件时请按投标文件规定的顺序编制，要求简洁、明了，并添加投标文件目录、页码、书签，便于评标委员会评审查阅。</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（3）对应第五章评分中服务响应/商务条件响应性说明：负偏离【以（一）****(每条)1.1****(每项)1.1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****(每</w:t>
      </w:r>
      <w:r>
        <w:rPr>
          <w:rFonts w:hint="eastAsia" w:ascii="宋体" w:hAnsi="宋体" w:eastAsia="宋体" w:cs="宋体"/>
          <w:b/>
          <w:bCs/>
          <w:color w:val="auto"/>
          <w:sz w:val="24"/>
          <w:szCs w:val="24"/>
          <w:highlight w:val="none"/>
          <w:lang w:val="en-US" w:eastAsia="zh-CN"/>
        </w:rPr>
        <w:t xml:space="preserve">点</w:t>
      </w:r>
      <w:r>
        <w:rPr>
          <w:rFonts w:hint="eastAsia" w:ascii="宋体" w:hAnsi="宋体" w:eastAsia="宋体" w:cs="宋体"/>
          <w:b/>
          <w:bCs/>
          <w:color w:val="auto"/>
          <w:sz w:val="24"/>
          <w:szCs w:val="24"/>
          <w:highlight w:val="none"/>
        </w:rPr>
        <w:t xml:space="preserve">)】。</w:t>
      </w:r>
      <w:r/>
    </w:p>
    <w:p>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三、政府采购政策：</w:t>
      </w:r>
      <w:bookmarkEnd w:id="298"/>
      <w:r/>
      <w:r/>
    </w:p>
    <w:p>
      <w:pPr>
        <w:ind w:firstLine="482"/>
        <w:spacing w:line="440" w:lineRule="exact"/>
        <w:rPr>
          <w:rFonts w:hint="eastAsia" w:ascii="宋体" w:hAnsi="宋体" w:eastAsia="宋体" w:cs="宋体"/>
          <w:b/>
          <w:bCs/>
          <w:color w:val="auto"/>
          <w:sz w:val="24"/>
          <w:szCs w:val="24"/>
          <w:highlight w:val="none"/>
        </w:rPr>
      </w:pPr>
      <w:r/>
      <w:bookmarkStart w:id="299" w:name="_Toc22323"/>
      <w:r>
        <w:rPr>
          <w:rFonts w:hint="eastAsia" w:ascii="宋体" w:hAnsi="宋体" w:eastAsia="宋体" w:cs="宋体"/>
          <w:b/>
          <w:bCs/>
          <w:color w:val="auto"/>
          <w:sz w:val="24"/>
          <w:szCs w:val="24"/>
          <w:highlight w:val="none"/>
        </w:rPr>
        <w:t xml:space="preserve">1、落实政府采购政策需满足的资格要求：</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（1）本项目专门面向中小企业采购，所属行业为其他未列明行业。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（2）在投标文件中须提供《中小企业声明函》。（填报严格按工信部联企业〔2011〕300号通知中的《中小企业划型标准规定》进行）。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（4）享受政府采购支持政策的残疾人福利性单位应当同时满足以下条件：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bookmarkEnd w:id="299"/>
      <w:r/>
      <w:r/>
    </w:p>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2、信用信息查询</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1、查询截止时点：投标文件递交截止时间。</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3、查询证据留存方式：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4、信用记录使用规则：</w:t>
      </w:r>
      <w:r/>
    </w:p>
    <w:p>
      <w:pPr>
        <w:ind w:firstLine="480"/>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 xml:space="preserve">评标委员会在对投标人进行资格性审查时，应根据查询结果对投标人的不良信用记录逐项甄别确认</w:t>
      </w:r>
      <w:bookmarkEnd w:id="273"/>
      <w:r/>
      <w:bookmarkEnd w:id="274"/>
      <w:r/>
      <w:bookmarkEnd w:id="275"/>
      <w:r/>
      <w:bookmarkStart w:id="300" w:name="_Toc158691777"/>
      <w:r/>
      <w:bookmarkStart w:id="301" w:name="_Toc315875326"/>
      <w:r/>
      <w:bookmarkStart w:id="302" w:name="_Toc315868063"/>
      <w:r>
        <w:rPr>
          <w:rFonts w:hint="eastAsia" w:ascii="宋体" w:hAnsi="宋体" w:eastAsia="宋体" w:cs="宋体"/>
          <w:color w:val="auto"/>
          <w:sz w:val="24"/>
          <w:szCs w:val="24"/>
          <w:highlight w:val="none"/>
        </w:rPr>
        <w:t xml:space="preserve">。</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center"/>
        <w:spacing w:line="360" w:lineRule="auto"/>
        <w:rPr>
          <w:rFonts w:hint="eastAsia" w:ascii="宋体" w:hAnsi="宋体" w:eastAsia="宋体" w:cs="宋体"/>
          <w:b/>
          <w:color w:val="auto"/>
          <w:sz w:val="36"/>
          <w:highlight w:val="none"/>
        </w:rPr>
        <w:outlineLvl w:val="0"/>
      </w:pPr>
      <w:r/>
      <w:bookmarkStart w:id="303" w:name="_Toc19243"/>
      <w:r>
        <w:rPr>
          <w:rFonts w:hint="eastAsia" w:ascii="宋体" w:hAnsi="宋体" w:eastAsia="宋体" w:cs="宋体"/>
          <w:b/>
          <w:color w:val="auto"/>
          <w:sz w:val="36"/>
          <w:highlight w:val="none"/>
        </w:rPr>
        <w:t xml:space="preserve">第六章 投标文件格式</w:t>
      </w:r>
      <w:bookmarkEnd w:id="303"/>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封面：</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投标文件</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2026-2027年度成片开发及土地报批服务</w:t>
      </w:r>
      <w:r/>
    </w:p>
    <w:p>
      <w:pPr>
        <w:ind w:firstLine="1084"/>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1084"/>
        <w:jc w:val="center"/>
        <w:rPr>
          <w:rFonts w:hint="eastAsia" w:ascii="宋体" w:hAnsi="宋体" w:eastAsia="宋体" w:cs="宋体"/>
          <w:b/>
          <w:color w:val="auto"/>
          <w:sz w:val="10"/>
          <w:szCs w:val="10"/>
          <w:highlight w:val="none"/>
          <w:lang w:eastAsia="zh-CN"/>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lang w:eastAsia="zh-CN"/>
        </w:rPr>
        <w:t xml:space="preserve">JSZC-320581-HXGW-G2025-0074</w:t>
      </w:r>
      <w:r/>
    </w:p>
    <w:p>
      <w:pPr>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1084"/>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1084"/>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21"/>
          <w:highlight w:val="none"/>
        </w:rPr>
        <w:t xml:space="preserve">投标人名称</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21"/>
          <w:highlight w:val="none"/>
          <w:u w:val="single"/>
        </w:rPr>
        <w:t xml:space="preserve">（加盖CA电子公章）</w:t>
      </w:r>
      <w:r/>
    </w:p>
    <w:p>
      <w:pPr>
        <w:ind w:firstLine="1988"/>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1988"/>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日期：   年   月    日</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目录</w:t>
      </w:r>
      <w:r/>
    </w:p>
    <w:p>
      <w:pPr>
        <w:ind w:firstLine="482"/>
        <w:spacing w:line="400" w:lineRule="exact"/>
        <w:rPr>
          <w:rFonts w:hint="eastAsia" w:ascii="宋体" w:hAnsi="宋体" w:eastAsia="宋体" w:cs="宋体"/>
          <w:b/>
          <w:bCs/>
          <w:color w:val="auto"/>
          <w:sz w:val="24"/>
          <w:szCs w:val="24"/>
          <w:highlight w:val="none"/>
        </w:rPr>
      </w:pPr>
      <w:r/>
      <w:bookmarkStart w:id="304" w:name="_Toc511680880"/>
      <w:r>
        <w:rPr>
          <w:rFonts w:hint="eastAsia" w:ascii="宋体" w:hAnsi="宋体" w:eastAsia="宋体" w:cs="宋体"/>
          <w:b/>
          <w:bCs/>
          <w:color w:val="auto"/>
          <w:sz w:val="24"/>
          <w:szCs w:val="24"/>
          <w:highlight w:val="none"/>
        </w:rPr>
        <w:t xml:space="preserve">一、基本目录</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开标一览表</w:t>
      </w:r>
      <w:r>
        <w:rPr>
          <w:rFonts w:hint="eastAsia" w:ascii="宋体" w:hAnsi="宋体" w:eastAsia="宋体" w:cs="宋体"/>
          <w:color w:val="auto"/>
          <w:sz w:val="24"/>
          <w:szCs w:val="24"/>
          <w:highlight w:val="none"/>
        </w:rPr>
        <w:t xml:space="preserve">（格式见附件1）</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二、资格审查内容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提供最近一期经会计事务所审计的财务报告（成立不满一年需提供资产负债表和利润表）或银行（金融机构）出具的资信证明</w:t>
      </w:r>
      <w:r>
        <w:rPr>
          <w:rFonts w:hint="eastAsia" w:ascii="宋体" w:hAnsi="宋体" w:eastAsia="宋体" w:cs="宋体"/>
          <w:b/>
          <w:bCs/>
          <w:color w:val="auto"/>
          <w:sz w:val="24"/>
          <w:szCs w:val="24"/>
          <w:highlight w:val="none"/>
        </w:rPr>
        <w:t xml:space="preserve">（距开标时间六个月内开具的资信证明）</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具备履行合同所必需的设备和专业技术能力的书面声明（格式见附件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参加政府采购活动前 3 年内在经营活动中没有重大违法记录的书面声明（格式见附件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*2、中小企业声明函（格式见附件</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）或残疾人福利性单位声明函（格式见附件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）或省级以上监狱管理局、戒毒管理局（含新疆生产建设兵团）出具的属于监狱企业的证明文件</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注：其中加“*”项目若有缺失或无效，将导致其投标文件无效且不允许在投标文件开启时间后补正。</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三、符合性审查内容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1.法人授权书（格式见附件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）（如法定代表人签署投标文件的，法人授权书无需提供）</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2.投标函（格式见附件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szCs w:val="24"/>
          <w:highlight w:val="none"/>
        </w:rPr>
        <w:t xml:space="preserve">实质性要求响应及偏离表（格式见附件</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4.服务要求响应及偏离表（格式见附件</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5.商务要求响应及偏离表</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6.供应商与其他单位存在直接控股、管理关系情况表</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四、综合评审文件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1、项目实施方案（格式见附件1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项目组人员一览表</w:t>
      </w:r>
      <w:r>
        <w:rPr>
          <w:rFonts w:hint="eastAsia" w:ascii="宋体" w:hAnsi="宋体" w:eastAsia="宋体" w:cs="宋体"/>
          <w:color w:val="auto"/>
          <w:sz w:val="24"/>
          <w:szCs w:val="24"/>
          <w:highlight w:val="none"/>
        </w:rPr>
        <w:t xml:space="preserve">（格式见附件1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3、业绩一览表（格式见附件1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备注：针对“二、资格审查内容”和“三、符合性审查内容”，投标人必须在投标文件中提供相关材料，若有缺失或无效的，将导致其投标无效。</w:t>
      </w:r>
      <w:r/>
    </w:p>
    <w:p>
      <w:pPr>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clear="all"/>
      </w:r>
      <w:bookmarkEnd w:id="304"/>
      <w:r/>
      <w:r/>
    </w:p>
    <w:p>
      <w:pPr>
        <w:pStyle w:val="1009"/>
        <w:rPr>
          <w:rFonts w:hint="eastAsia" w:ascii="宋体" w:hAnsi="宋体" w:eastAsia="宋体" w:cs="宋体"/>
          <w:color w:val="auto"/>
          <w:highlight w:val="none"/>
        </w:rPr>
      </w:pPr>
      <w:r/>
      <w:bookmarkStart w:id="305" w:name="_Toc20438"/>
      <w:r/>
      <w:bookmarkStart w:id="306" w:name="_Toc511680881"/>
      <w:r/>
      <w:bookmarkStart w:id="307" w:name="_Toc472326799"/>
      <w:r>
        <w:rPr>
          <w:rFonts w:hint="eastAsia" w:ascii="宋体" w:hAnsi="宋体" w:eastAsia="宋体" w:cs="宋体"/>
          <w:color w:val="auto"/>
          <w:highlight w:val="none"/>
        </w:rPr>
        <w:t xml:space="preserve">附件1 开标一览表</w:t>
      </w:r>
      <w:bookmarkEnd w:id="305"/>
      <w:r/>
      <w:bookmarkEnd w:id="306"/>
      <w:r/>
      <w:bookmarkEnd w:id="307"/>
      <w:r/>
      <w:bookmarkEnd w:id="300"/>
      <w:r/>
      <w:bookmarkEnd w:id="301"/>
      <w:r/>
      <w:bookmarkEnd w:id="302"/>
      <w:r/>
      <w:r/>
    </w:p>
    <w:p>
      <w:pPr>
        <w:ind w:firstLine="482"/>
        <w:spacing w:line="400" w:lineRule="exact"/>
        <w:rPr>
          <w:rFonts w:hint="eastAsia" w:ascii="宋体" w:hAnsi="宋体" w:eastAsia="宋体" w:cs="宋体"/>
          <w:color w:val="auto"/>
          <w:sz w:val="24"/>
          <w:szCs w:val="24"/>
          <w:highlight w:val="none"/>
        </w:rPr>
      </w:pPr>
      <w:r/>
      <w:bookmarkStart w:id="308" w:name="_Toc13333"/>
      <w:r/>
      <w:bookmarkStart w:id="309" w:name="_Toc501026326"/>
      <w:r/>
      <w:bookmarkStart w:id="310" w:name="_Toc504487339"/>
      <w:r/>
      <w:bookmarkStart w:id="311" w:name="_Toc500969519"/>
      <w:r/>
      <w:bookmarkStart w:id="312" w:name="_Toc507155725"/>
      <w:r/>
      <w:bookmarkStart w:id="313" w:name="_Toc10210"/>
      <w:r>
        <w:rPr>
          <w:rFonts w:hint="eastAsia" w:ascii="宋体" w:hAnsi="宋体" w:eastAsia="宋体" w:cs="宋体"/>
          <w:color w:val="auto"/>
          <w:sz w:val="24"/>
          <w:szCs w:val="24"/>
          <w:highlight w:val="none"/>
        </w:rPr>
        <w:t xml:space="preserve">投标人全称（加盖CA电子签章）：</w:t>
      </w:r>
      <w:r/>
    </w:p>
    <w:p>
      <w:pPr>
        <w:ind w:firstLine="482"/>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2026-2027年度成片开发及土地报批服务</w:t>
      </w:r>
      <w:r/>
    </w:p>
    <w:p>
      <w:pPr>
        <w:ind w:firstLine="482"/>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JSZC-320581-HXGW-G2025-0074</w:t>
      </w:r>
      <w:r/>
    </w:p>
    <w:tbl>
      <w:tblPr>
        <w:tblStyle w:val="1062"/>
        <w:tblpPr w:horzAnchor="page" w:tblpX="1318" w:vertAnchor="text" w:tblpY="279" w:leftFromText="180" w:topFromText="0" w:rightFromText="180" w:bottomFromText="0"/>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30"/>
        <w:gridCol w:w="4469"/>
      </w:tblGrid>
      <w:tr>
        <w:trPr>
          <w:trHeight w:val="599"/>
        </w:trPr>
        <w:tc>
          <w:tcPr>
            <w:tcW w:w="513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c>
        <w:tc>
          <w:tcPr>
            <w:tcW w:w="446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投标优惠率</w:t>
            </w:r>
            <w:r/>
          </w:p>
        </w:tc>
      </w:tr>
      <w:tr>
        <w:trPr>
          <w:trHeight w:val="725"/>
        </w:trPr>
        <w:tc>
          <w:tcPr>
            <w:tcW w:w="5130"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2026-2027年度成片开发及土地报批服务</w:t>
            </w:r>
            <w:r/>
          </w:p>
        </w:tc>
        <w:tc>
          <w:tcPr>
            <w:tcW w:w="4469" w:type="dxa"/>
            <w:vAlign w:val="center"/>
            <w:textDirection w:val="lrTb"/>
            <w:noWrap w:val="false"/>
          </w:tcPr>
          <w:p>
            <w:pPr>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rPr>
              <w:t xml:space="preserve">小写：          </w:t>
            </w:r>
            <w:r>
              <w:rPr>
                <w:rFonts w:hint="eastAsia" w:ascii="宋体" w:hAnsi="宋体" w:eastAsia="宋体" w:cs="宋体"/>
                <w:bCs/>
                <w:color w:val="auto"/>
                <w:sz w:val="24"/>
                <w:szCs w:val="24"/>
                <w:highlight w:val="none"/>
                <w:lang w:val="en-US" w:eastAsia="zh-CN"/>
              </w:rPr>
              <w:t xml:space="preserve">%</w:t>
            </w:r>
            <w:r/>
          </w:p>
        </w:tc>
      </w:tr>
    </w:tbl>
    <w:p>
      <w:pPr>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1、“投标优惠率”请保留小数点后两位。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2、投标报价优惠率均不得低于0%，否则将作无效投标处理。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09"/>
        <w:rPr>
          <w:rFonts w:hint="eastAsia" w:ascii="宋体" w:hAnsi="宋体" w:eastAsia="宋体" w:cs="宋体"/>
          <w:color w:val="auto"/>
          <w:highlight w:val="none"/>
        </w:rPr>
      </w:pPr>
      <w:r/>
      <w:bookmarkStart w:id="314" w:name="_Toc20102"/>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具备履行合同所必需的设备和专业技术能力的书面声明</w:t>
      </w:r>
      <w:bookmarkEnd w:id="314"/>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主要设备有：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1009"/>
        <w:rPr>
          <w:rFonts w:hint="eastAsia" w:ascii="宋体" w:hAnsi="宋体" w:eastAsia="宋体" w:cs="宋体"/>
          <w:color w:val="auto"/>
          <w:highlight w:val="none"/>
        </w:rPr>
      </w:pPr>
      <w:r/>
      <w:bookmarkStart w:id="315" w:name="_Toc19087"/>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参加政府采购活动前3年内在经营活动中没有重大违法记录的书面声明</w:t>
      </w:r>
      <w:bookmarkEnd w:id="315"/>
      <w:r/>
      <w:r/>
    </w:p>
    <w:p>
      <w:pPr>
        <w:jc w:val="center"/>
        <w:spacing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spacing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声 明</w:t>
      </w:r>
      <w:r/>
    </w:p>
    <w:p>
      <w:pPr>
        <w:ind w:firstLine="480"/>
        <w:spacing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09"/>
        <w:spacing w:line="440" w:lineRule="exact"/>
        <w:rPr>
          <w:rFonts w:hint="eastAsia" w:ascii="宋体" w:hAnsi="宋体" w:eastAsia="宋体" w:cs="宋体"/>
          <w:color w:val="auto"/>
          <w:highlight w:val="none"/>
        </w:rPr>
      </w:pPr>
      <w:r/>
      <w:bookmarkStart w:id="316" w:name="_Toc961"/>
      <w:r/>
      <w:bookmarkStart w:id="317" w:name="_Toc21397"/>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w:t>
      </w:r>
      <w:bookmarkEnd w:id="316"/>
      <w:r>
        <w:rPr>
          <w:rFonts w:hint="eastAsia" w:ascii="宋体" w:hAnsi="宋体" w:eastAsia="宋体" w:cs="宋体"/>
          <w:color w:val="auto"/>
          <w:highlight w:val="none"/>
        </w:rPr>
        <w:t xml:space="preserve">法人授权书</w:t>
      </w:r>
      <w:bookmarkEnd w:id="317"/>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涵熙（苏州）工程顾问有限公司：</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本授权委托书声明：注册于</w:t>
      </w:r>
      <w:r>
        <w:rPr>
          <w:rFonts w:hint="eastAsia" w:ascii="宋体" w:hAnsi="宋体" w:eastAsia="宋体" w:cs="宋体"/>
          <w:color w:val="auto"/>
          <w:sz w:val="24"/>
          <w:szCs w:val="24"/>
          <w:highlight w:val="none"/>
          <w:u w:val="single"/>
        </w:rPr>
        <w:t xml:space="preserve">     （投标人地址）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      （投标人全称）         </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 xml:space="preserve">（法定代表人姓名）  </w:t>
      </w:r>
      <w:r>
        <w:rPr>
          <w:rFonts w:hint="eastAsia" w:ascii="宋体" w:hAnsi="宋体" w:eastAsia="宋体" w:cs="宋体"/>
          <w:color w:val="auto"/>
          <w:sz w:val="24"/>
          <w:szCs w:val="24"/>
          <w:highlight w:val="none"/>
        </w:rPr>
        <w:t xml:space="preserve">，代表本公司（工厂）授权</w:t>
      </w:r>
      <w:r>
        <w:rPr>
          <w:rFonts w:hint="eastAsia" w:ascii="宋体" w:hAnsi="宋体" w:eastAsia="宋体" w:cs="宋体"/>
          <w:color w:val="auto"/>
          <w:sz w:val="24"/>
          <w:szCs w:val="24"/>
          <w:highlight w:val="none"/>
          <w:u w:val="single"/>
        </w:rPr>
        <w:t xml:space="preserve">   （授权代表姓名）   </w:t>
      </w:r>
      <w:r>
        <w:rPr>
          <w:rFonts w:hint="eastAsia" w:ascii="宋体" w:hAnsi="宋体" w:eastAsia="宋体" w:cs="宋体"/>
          <w:color w:val="auto"/>
          <w:sz w:val="24"/>
          <w:szCs w:val="24"/>
          <w:highlight w:val="none"/>
        </w:rPr>
        <w:t xml:space="preserve">为本公司（工厂）的合法代理人，就贵方组织的</w:t>
      </w:r>
      <w:r>
        <w:rPr>
          <w:rFonts w:hint="eastAsia" w:ascii="宋体" w:hAnsi="宋体" w:eastAsia="宋体" w:cs="宋体"/>
          <w:color w:val="auto"/>
          <w:sz w:val="24"/>
          <w:szCs w:val="24"/>
          <w:highlight w:val="none"/>
          <w:u w:val="single"/>
          <w:lang w:eastAsia="zh-CN"/>
        </w:rPr>
        <w:t xml:space="preserve">2026-2027年度成片开发及土地报批服务</w:t>
      </w:r>
      <w:r>
        <w:rPr>
          <w:rFonts w:hint="eastAsia" w:ascii="宋体" w:hAnsi="宋体" w:eastAsia="宋体" w:cs="宋体"/>
          <w:color w:val="auto"/>
          <w:sz w:val="24"/>
          <w:szCs w:val="24"/>
          <w:highlight w:val="none"/>
          <w:u w:val="single"/>
        </w:rPr>
        <w:t xml:space="preserve"> （项目编号：</w:t>
      </w:r>
      <w:r>
        <w:rPr>
          <w:rFonts w:hint="eastAsia" w:ascii="宋体" w:hAnsi="宋体" w:eastAsia="宋体" w:cs="宋体"/>
          <w:color w:val="auto"/>
          <w:sz w:val="24"/>
          <w:szCs w:val="24"/>
          <w:highlight w:val="none"/>
          <w:u w:val="single"/>
          <w:lang w:eastAsia="zh-CN"/>
        </w:rPr>
        <w:t xml:space="preserve">JSZC-320581-HXGW-G2025-0074</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的采购活动，以本公司（工厂）名义处理一切与之有关的事务。，以本公司名义处理一切与之有关的事务。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本授权书于年月日生效，被授权人无转委权。</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名称：</w:t>
      </w:r>
      <w:r>
        <w:rPr>
          <w:rFonts w:hint="eastAsia" w:ascii="宋体" w:hAnsi="宋体" w:eastAsia="宋体" w:cs="宋体"/>
          <w:color w:val="auto"/>
          <w:sz w:val="24"/>
          <w:szCs w:val="24"/>
          <w:highlight w:val="none"/>
          <w:u w:val="single"/>
        </w:rPr>
        <w:t xml:space="preserve">（加盖CA电子公章）</w:t>
      </w:r>
      <w:r/>
    </w:p>
    <w:p>
      <w:pPr>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地      址：</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法定代表人姓名：</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公民身份号码：</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职      务：</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授权代表姓名：</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公民身份号码：</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职      务：</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注：如法定代表人签署投标文件的，“法人授权书”可不提供，但需提供法人代表人身份证正反面及营业执照扫描件。</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09"/>
        <w:rPr>
          <w:rFonts w:hint="eastAsia" w:ascii="宋体" w:hAnsi="宋体" w:eastAsia="宋体" w:cs="宋体"/>
          <w:color w:val="auto"/>
          <w:highlight w:val="none"/>
        </w:rPr>
      </w:pPr>
      <w:r/>
      <w:bookmarkStart w:id="318" w:name="_Toc20689"/>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 投标函</w:t>
      </w:r>
      <w:bookmarkEnd w:id="318"/>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致：涵熙（苏州）工程顾问有限公司</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color w:val="auto"/>
          <w:sz w:val="24"/>
          <w:szCs w:val="24"/>
          <w:highlight w:val="none"/>
          <w:u w:val="single"/>
          <w:lang w:eastAsia="zh-CN"/>
        </w:rPr>
        <w:t xml:space="preserve">2026-2027年度成片开发及土地报批服务</w:t>
      </w:r>
      <w:r>
        <w:rPr>
          <w:rFonts w:hint="eastAsia" w:ascii="宋体" w:hAnsi="宋体" w:eastAsia="宋体" w:cs="宋体"/>
          <w:color w:val="auto"/>
          <w:sz w:val="24"/>
          <w:szCs w:val="24"/>
          <w:highlight w:val="none"/>
        </w:rPr>
        <w:t xml:space="preserve">项目招标文件（项目编号：</w:t>
      </w:r>
      <w:r>
        <w:rPr>
          <w:rFonts w:hint="eastAsia" w:ascii="宋体" w:hAnsi="宋体" w:eastAsia="宋体" w:cs="宋体"/>
          <w:color w:val="auto"/>
          <w:sz w:val="24"/>
          <w:szCs w:val="24"/>
          <w:highlight w:val="none"/>
          <w:lang w:eastAsia="zh-CN"/>
        </w:rPr>
        <w:t xml:space="preserve">JSZC-320581-HXGW-G2025-0074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正式授权下述签字人______(姓名)代表我方______________（投标人的名称），全权处理本次项目投标的有关事宜。</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pStyle w:val="1180"/>
        <w:spacing w:before="0" w:after="0" w:line="420" w:lineRule="exact"/>
        <w:rPr>
          <w:rFonts w:hint="eastAsia" w:ascii="宋体" w:hAnsi="宋体" w:eastAsia="宋体" w:cs="宋体"/>
          <w:color w:val="auto"/>
          <w:szCs w:val="21"/>
          <w:highlight w:val="none"/>
        </w:rPr>
      </w:pPr>
      <w:r/>
      <w:bookmarkStart w:id="319" w:name="_Toc495934670"/>
      <w:r/>
      <w:bookmarkStart w:id="320" w:name="_Toc23143"/>
      <w:r/>
      <w:bookmarkStart w:id="321" w:name="_Toc496180957"/>
      <w:r/>
      <w:bookmarkStart w:id="322" w:name="_Toc496528251"/>
      <w:r/>
      <w:bookmarkStart w:id="323" w:name="_Toc2220"/>
      <w:r>
        <w:rPr>
          <w:rFonts w:hint="eastAsia" w:ascii="宋体" w:hAnsi="宋体" w:eastAsia="宋体" w:cs="宋体"/>
          <w:color w:val="auto"/>
          <w:szCs w:val="21"/>
          <w:highlight w:val="none"/>
        </w:rPr>
        <w:t xml:space="preserve">1.按招标文件规定的各项要求，向买方提供所需服务（包含与服务相关的货物）。</w:t>
      </w:r>
      <w:r/>
    </w:p>
    <w:p>
      <w:pPr>
        <w:pStyle w:val="118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118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118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118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118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118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pStyle w:val="1180"/>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1180"/>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1180"/>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p>
    <w:p>
      <w:pPr>
        <w:pStyle w:val="1180"/>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p>
    <w:p>
      <w:pPr>
        <w:pStyle w:val="1180"/>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投标人开户行：</w:t>
      </w:r>
      <w:r/>
    </w:p>
    <w:p>
      <w:pPr>
        <w:pStyle w:val="1180"/>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r/>
    </w:p>
    <w:p>
      <w:pPr>
        <w:pStyle w:val="1180"/>
        <w:ind w:left="420"/>
        <w:spacing w:before="0" w:after="0" w:line="420" w:lineRule="exact"/>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t xml:space="preserve">日           期：________年____月____日</w:t>
      </w:r>
      <w:r>
        <w:rPr>
          <w:rFonts w:hint="eastAsia" w:ascii="宋体" w:hAnsi="宋体" w:eastAsia="宋体" w:cs="宋体"/>
          <w:b/>
          <w:bCs/>
          <w:color w:val="auto"/>
          <w:sz w:val="28"/>
          <w:szCs w:val="28"/>
          <w:highlight w:val="none"/>
        </w:rPr>
        <w:br w:type="page" w:clear="all"/>
      </w:r>
      <w:r/>
    </w:p>
    <w:p>
      <w:pPr>
        <w:jc w:val="center"/>
        <w:keepNext/>
        <w:rPr>
          <w:rFonts w:hint="eastAsia" w:ascii="宋体" w:hAnsi="宋体" w:eastAsia="宋体" w:cs="宋体"/>
          <w:b/>
          <w:bCs/>
          <w:color w:val="auto"/>
          <w:sz w:val="28"/>
          <w:szCs w:val="28"/>
          <w:highlight w:val="none"/>
        </w:rPr>
        <w:outlineLvl w:val="1"/>
      </w:pPr>
      <w:r/>
      <w:bookmarkStart w:id="324" w:name="_Toc8479"/>
      <w:r>
        <w:rPr>
          <w:rFonts w:hint="eastAsia" w:ascii="宋体" w:hAnsi="宋体" w:eastAsia="宋体" w:cs="宋体"/>
          <w:b/>
          <w:bCs/>
          <w:color w:val="auto"/>
          <w:sz w:val="28"/>
          <w:szCs w:val="28"/>
          <w:highlight w:val="none"/>
        </w:rPr>
        <w:t xml:space="preserve">附件</w:t>
      </w:r>
      <w:bookmarkEnd w:id="319"/>
      <w:r/>
      <w:bookmarkEnd w:id="320"/>
      <w:r/>
      <w:bookmarkEnd w:id="321"/>
      <w:r/>
      <w:bookmarkEnd w:id="322"/>
      <w:r>
        <w:rPr>
          <w:rFonts w:hint="eastAsia" w:ascii="宋体" w:hAnsi="宋体" w:eastAsia="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 中小企业声明函</w:t>
      </w:r>
      <w:bookmarkEnd w:id="323"/>
      <w:r/>
      <w:bookmarkEnd w:id="324"/>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eastAsia="zh-CN"/>
        </w:rPr>
        <w:t xml:space="preserve">常熟高新技术产业开发区管理委员会</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eastAsia="zh-CN"/>
        </w:rPr>
        <w:t xml:space="preserve">2026-2027年度成片开发及土地报批服务</w:t>
      </w:r>
      <w:r>
        <w:rPr>
          <w:rFonts w:hint="eastAsia" w:ascii="宋体" w:hAnsi="宋体" w:eastAsia="宋体" w:cs="宋体"/>
          <w:color w:val="auto"/>
          <w:sz w:val="24"/>
          <w:szCs w:val="21"/>
          <w:highlight w:val="none"/>
        </w:rPr>
        <w:t xml:space="preserve">采购活动，服务全部由符合政策要求的中小企业承接。相关企业的具体情况如下：</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eastAsia="zh-CN"/>
        </w:rPr>
        <w:t xml:space="preserve">2026-2027年度成片开发及土地报批服务</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1027"/>
        <w:ind w:right="414" w:firstLine="472"/>
        <w:spacing w:before="55" w:line="56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pStyle w:val="1027"/>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企业名称（加盖CA电子公章）：</w:t>
      </w:r>
      <w:r/>
    </w:p>
    <w:p>
      <w:pPr>
        <w:pStyle w:val="1027"/>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日期：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40" w:lineRule="exact"/>
        <w:rPr>
          <w:rFonts w:hint="eastAsia" w:ascii="宋体" w:hAnsi="宋体" w:eastAsia="宋体" w:cs="宋体"/>
          <w:b/>
          <w:bCs/>
          <w:color w:val="auto"/>
          <w:sz w:val="24"/>
          <w:szCs w:val="32"/>
          <w:highlight w:val="none"/>
        </w:rPr>
      </w:pPr>
      <w:r>
        <w:rPr>
          <w:rFonts w:hint="eastAsia" w:ascii="宋体" w:hAnsi="宋体" w:eastAsia="宋体" w:cs="宋体"/>
          <w:b/>
          <w:color w:val="auto"/>
          <w:sz w:val="24"/>
          <w:szCs w:val="24"/>
          <w:highlight w:val="none"/>
        </w:rPr>
        <w:t xml:space="preserve">注：（1）从业人员、营业收入、资产总额填报上一年度数据，无上一年度数据的新成立企业</w:t>
      </w:r>
      <w:r>
        <w:rPr>
          <w:rFonts w:hint="eastAsia" w:ascii="宋体" w:hAnsi="宋体" w:eastAsia="宋体" w:cs="宋体"/>
          <w:b/>
          <w:bCs/>
          <w:color w:val="auto"/>
          <w:sz w:val="24"/>
          <w:szCs w:val="32"/>
          <w:highlight w:val="none"/>
        </w:rPr>
        <w:t xml:space="preserve">可不填报。</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（2）本项目所属行业为：其他未列明行业。</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（3）上述“中小企业声明函”格式原则上不得改动，因擅自改动引起的评审风险由投标人自行承担。</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（4）如未对上述声明函内（中型企业、小型企业、微型企业）进行勾选或明确，引起的评审风险由投标人自行承担。</w:t>
      </w:r>
      <w:r/>
    </w:p>
    <w:p>
      <w:pPr>
        <w:ind w:firstLine="562"/>
        <w:spacing w:line="440" w:lineRule="exact"/>
        <w:rPr>
          <w:rFonts w:hint="eastAsia" w:ascii="宋体" w:hAnsi="宋体" w:eastAsia="宋体" w:cs="宋体"/>
          <w:b/>
          <w:bCs/>
          <w:color w:val="auto"/>
          <w:sz w:val="28"/>
          <w:szCs w:val="28"/>
          <w:highlight w:val="none"/>
        </w:rPr>
        <w:sectPr>
          <w:footerReference w:type="default" r:id="rId16"/>
          <w:footerReference w:type="first" r:id="rId17"/>
          <w:footnotePr/>
          <w:endnotePr/>
          <w:type w:val="nextPage"/>
          <w:pgSz w:w="11907" w:h="16840" w:orient="portrait"/>
          <w:pgMar w:top="1134" w:right="882" w:bottom="1134" w:left="1365" w:header="567" w:footer="794" w:gutter="0"/>
          <w:pgNumType w:start="1"/>
          <w:cols w:num="1" w:sep="0" w:space="720" w:equalWidth="1"/>
          <w:docGrid w:linePitch="360"/>
          <w:titlePg/>
        </w:sectPr>
      </w:pPr>
      <w:r>
        <w:rPr>
          <w:rFonts w:hint="eastAsia" w:ascii="宋体" w:hAnsi="宋体" w:eastAsia="宋体" w:cs="宋体"/>
          <w:b/>
          <w:bCs/>
          <w:color w:val="auto"/>
          <w:sz w:val="28"/>
          <w:szCs w:val="28"/>
          <w:highlight w:val="none"/>
        </w:rPr>
      </w:r>
      <w:r/>
    </w:p>
    <w:p>
      <w:pPr>
        <w:jc w:val="center"/>
        <w:spacing w:line="440" w:lineRule="exact"/>
        <w:rPr>
          <w:rFonts w:hint="eastAsia" w:ascii="宋体" w:hAnsi="宋体" w:eastAsia="宋体" w:cs="宋体"/>
          <w:color w:val="auto"/>
          <w:highlight w:val="none"/>
        </w:rPr>
        <w:outlineLvl w:val="1"/>
      </w:pPr>
      <w:r/>
      <w:bookmarkStart w:id="325" w:name="_Toc9286"/>
      <w:r/>
      <w:bookmarkStart w:id="326" w:name="_Toc25954"/>
      <w:r/>
      <w:bookmarkStart w:id="327" w:name="_Toc1913"/>
      <w:r>
        <w:rPr>
          <w:rFonts w:hint="eastAsia" w:ascii="宋体" w:hAnsi="宋体" w:eastAsia="宋体" w:cs="宋体"/>
          <w:b/>
          <w:bCs/>
          <w:color w:val="auto"/>
          <w:sz w:val="28"/>
          <w:szCs w:val="28"/>
          <w:highlight w:val="none"/>
        </w:rPr>
        <w:t xml:space="preserve">附件</w:t>
      </w:r>
      <w:bookmarkEnd w:id="325"/>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 残疾人福利性单位声明函</w:t>
      </w:r>
      <w:bookmarkEnd w:id="326"/>
      <w:r/>
      <w:bookmarkEnd w:id="327"/>
      <w:r/>
      <w:r/>
    </w:p>
    <w:p>
      <w:pPr>
        <w:ind w:firstLine="480"/>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本单位对上述声明的真实性负责。如有虚假，将依法承担相应责任。</w:t>
      </w:r>
      <w:r/>
    </w:p>
    <w:p>
      <w:pPr>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0"/>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单位名称：</w:t>
      </w:r>
      <w:r/>
    </w:p>
    <w:p>
      <w:pPr>
        <w:ind w:firstLine="4800"/>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w:t>
      </w:r>
      <w:r/>
    </w:p>
    <w:p>
      <w:pPr>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请投标人认真阅读如下内容：</w:t>
      </w:r>
      <w:r/>
    </w:p>
    <w:p>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1）安置的残疾人占本单位在职职工人数的比例不低于25%（含25%），并且安置的残疾人人数不少于10人（含10人）；</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2）依法与安置的每位残疾人签订了一年以上（含一年）的劳动合同或服务协议；</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3）为安置的每位残疾人按月足额缴纳了基本养老保险、基本医疗保险、失业保险、工伤保险和生育保险等社会保险费；</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sz w:val="24"/>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9"/>
        <w:keepNext w:val="0"/>
        <w:pageBreakBefore/>
        <w:rPr>
          <w:rFonts w:hint="eastAsia" w:ascii="宋体" w:hAnsi="宋体" w:eastAsia="宋体" w:cs="宋体"/>
          <w:color w:val="auto"/>
          <w:highlight w:val="none"/>
        </w:rPr>
      </w:pPr>
      <w:r/>
      <w:bookmarkStart w:id="328" w:name="_Toc4485"/>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 实质性要求响应及偏离表</w:t>
      </w:r>
      <w:bookmarkEnd w:id="328"/>
      <w:r/>
      <w:r/>
    </w:p>
    <w:tbl>
      <w:tblPr>
        <w:tblStyle w:val="1062"/>
        <w:tblW w:w="0" w:type="auto"/>
        <w:tblInd w:w="3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4666"/>
        <w:gridCol w:w="2260"/>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技术要求和商务要求中的</w:t>
            </w:r>
            <w:r>
              <w:rPr>
                <w:rFonts w:hint="eastAsia" w:ascii="宋体" w:hAnsi="宋体" w:eastAsia="宋体" w:cs="宋体"/>
                <w:b/>
                <w:color w:val="auto"/>
                <w:sz w:val="24"/>
                <w:highlight w:val="none"/>
              </w:rPr>
              <w:t xml:space="preserve">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0"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textDirection w:val="lrTb"/>
            <w:noWrap w:val="false"/>
          </w:tcPr>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备注：1.投标人必须对技术要求和商务要求中的不可实质性变动要求逐条做出明确响应，否则作无效投标处理。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09"/>
        <w:keepNext w:val="0"/>
        <w:pageBreakBefore/>
        <w:rPr>
          <w:rFonts w:hint="eastAsia" w:ascii="宋体" w:hAnsi="宋体" w:eastAsia="宋体" w:cs="宋体"/>
          <w:color w:val="auto"/>
          <w:highlight w:val="none"/>
        </w:rPr>
      </w:pPr>
      <w:r/>
      <w:bookmarkStart w:id="329" w:name="_Toc6403"/>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 服务要求响应及偏离表</w:t>
      </w:r>
      <w:bookmarkEnd w:id="329"/>
      <w:r/>
      <w:r/>
    </w:p>
    <w:tbl>
      <w:tblPr>
        <w:tblStyle w:val="1018"/>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606"/>
        <w:gridCol w:w="1623"/>
        <w:gridCol w:w="1923"/>
        <w:gridCol w:w="845"/>
        <w:gridCol w:w="805"/>
        <w:gridCol w:w="2670"/>
      </w:tblGrid>
      <w:tr>
        <w:trPr>
          <w:trHeight w:val="606"/>
        </w:trPr>
        <w:tc>
          <w:tcPr>
            <w:tcW w:w="466"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606"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招标文件服务要求</w:t>
            </w:r>
            <w:r/>
          </w:p>
        </w:tc>
        <w:tc>
          <w:tcPr>
            <w:tcW w:w="1623"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招标文件提供服务承诺</w:t>
            </w:r>
            <w:r/>
          </w:p>
        </w:tc>
        <w:tc>
          <w:tcPr>
            <w:tcW w:w="1923"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有无偏离</w:t>
            </w:r>
            <w:r/>
          </w:p>
        </w:tc>
        <w:tc>
          <w:tcPr>
            <w:gridSpan w:val="2"/>
            <w:tcW w:w="165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有偏离</w:t>
            </w:r>
            <w:r/>
          </w:p>
        </w:tc>
        <w:tc>
          <w:tcPr>
            <w:tcW w:w="267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偏离内容</w:t>
            </w:r>
            <w:r/>
          </w:p>
        </w:tc>
      </w:tr>
      <w:tr>
        <w:trPr>
          <w:trHeight w:val="606"/>
        </w:trPr>
        <w:tc>
          <w:tcPr>
            <w:tcW w:w="466"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606"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623"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923"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正</w:t>
            </w:r>
            <w:r/>
          </w:p>
        </w:tc>
        <w:tc>
          <w:tcPr>
            <w:tcW w:w="80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负</w:t>
            </w:r>
            <w:r/>
          </w:p>
        </w:tc>
        <w:tc>
          <w:tcPr>
            <w:tcW w:w="267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w:t>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注：1、投标人应根据“第四章 采购需求”中的“</w:t>
      </w:r>
      <w:r>
        <w:rPr>
          <w:rFonts w:hint="eastAsia" w:ascii="宋体" w:hAnsi="宋体" w:eastAsia="宋体" w:cs="宋体"/>
          <w:b/>
          <w:bCs w:val="0"/>
          <w:color w:val="auto"/>
          <w:sz w:val="24"/>
          <w:szCs w:val="24"/>
          <w:highlight w:val="none"/>
        </w:rPr>
        <w:t xml:space="preserve">三、项目服务要求</w:t>
      </w:r>
      <w:r>
        <w:rPr>
          <w:rFonts w:hint="eastAsia" w:ascii="宋体" w:hAnsi="宋体" w:eastAsia="宋体" w:cs="宋体"/>
          <w:bCs/>
          <w:color w:val="auto"/>
          <w:sz w:val="24"/>
          <w:szCs w:val="24"/>
          <w:highlight w:val="none"/>
        </w:rPr>
        <w:t xml:space="preserve">”，对照投标人所提供的服务承诺进行逐项评议。</w:t>
      </w: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2、若无偏离，在“无偏离”栏中填写“无偏离”；若有偏离在“有偏离”栏中填写“正偏离”或“负偏离”，并在“偏离内容”栏中作出说明。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3、表格不够可另接。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09"/>
        <w:rPr>
          <w:rFonts w:hint="eastAsia" w:ascii="宋体" w:hAnsi="宋体" w:eastAsia="宋体" w:cs="宋体"/>
          <w:color w:val="auto"/>
          <w:highlight w:val="none"/>
        </w:rPr>
      </w:pPr>
      <w:r/>
      <w:bookmarkStart w:id="330" w:name="_Toc15048"/>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 项目实施方案</w:t>
      </w:r>
      <w:bookmarkEnd w:id="330"/>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根据“第五章  评审方法与评审标准”提供相关说明及证明材料</w:t>
      </w:r>
      <w:bookmarkEnd w:id="308"/>
      <w:r/>
      <w:bookmarkStart w:id="331" w:name="_Toc42157463"/>
      <w:r/>
      <w:bookmarkEnd w:id="331"/>
      <w:r/>
      <w:r/>
    </w:p>
    <w:p>
      <w:pPr>
        <w:rPr>
          <w:rFonts w:hint="eastAsia" w:ascii="宋体" w:hAnsi="宋体" w:eastAsia="宋体" w:cs="宋体"/>
          <w:color w:val="auto"/>
          <w:highlight w:val="none"/>
        </w:rPr>
      </w:pPr>
      <w:r/>
      <w:bookmarkStart w:id="332" w:name="_Toc631"/>
      <w:r/>
      <w:bookmarkStart w:id="333" w:name="_Toc321922918"/>
      <w:r/>
      <w:bookmarkStart w:id="334" w:name="_Toc69302318"/>
      <w:r/>
      <w:bookmarkStart w:id="335" w:name="_Toc472326802"/>
      <w:r/>
      <w:bookmarkStart w:id="336" w:name="_Toc511680884"/>
      <w:r>
        <w:rPr>
          <w:rFonts w:hint="eastAsia" w:ascii="宋体" w:hAnsi="宋体" w:eastAsia="宋体" w:cs="宋体"/>
          <w:color w:val="auto"/>
          <w:highlight w:val="none"/>
        </w:rPr>
        <w:br w:type="page" w:clear="all"/>
      </w:r>
      <w:r/>
    </w:p>
    <w:p>
      <w:pPr>
        <w:pStyle w:val="1009"/>
        <w:rPr>
          <w:rFonts w:hint="eastAsia" w:ascii="宋体" w:hAnsi="宋体" w:eastAsia="宋体" w:cs="宋体"/>
          <w:color w:val="auto"/>
          <w:highlight w:val="none"/>
        </w:rPr>
      </w:pPr>
      <w:r/>
      <w:bookmarkStart w:id="337" w:name="_Toc22769"/>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 项目组人员一览表</w:t>
      </w:r>
      <w:bookmarkEnd w:id="337"/>
      <w:r/>
      <w:bookmarkEnd w:id="332"/>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926"/>
        <w:gridCol w:w="845"/>
        <w:gridCol w:w="764"/>
        <w:gridCol w:w="764"/>
        <w:gridCol w:w="750"/>
        <w:gridCol w:w="886"/>
        <w:gridCol w:w="1766"/>
        <w:gridCol w:w="1087"/>
      </w:tblGrid>
      <w:tr>
        <w:trPr>
          <w:jc w:val="center"/>
          <w:trHeight w:val="405"/>
        </w:trPr>
        <w:tc>
          <w:tcPr>
            <w:tcW w:w="87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26" w:type="dxa"/>
            <w:vAlign w:val="center"/>
            <w:textDirection w:val="lrTb"/>
            <w:noWrap/>
          </w:tcPr>
          <w:p>
            <w:pPr>
              <w:pStyle w:val="10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W w:w="845" w:type="dxa"/>
            <w:vAlign w:val="center"/>
            <w:textDirection w:val="lrTb"/>
            <w:noWrap/>
          </w:tcPr>
          <w:p>
            <w:pPr>
              <w:pStyle w:val="10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764" w:type="dxa"/>
            <w:vAlign w:val="center"/>
            <w:textDirection w:val="lrTb"/>
            <w:noWrap/>
          </w:tcPr>
          <w:p>
            <w:pPr>
              <w:pStyle w:val="10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764" w:type="dxa"/>
            <w:vAlign w:val="center"/>
            <w:textDirection w:val="lrTb"/>
            <w:noWrap/>
          </w:tcPr>
          <w:p>
            <w:pPr>
              <w:pStyle w:val="10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750" w:type="dxa"/>
            <w:vAlign w:val="center"/>
            <w:textDirection w:val="lrTb"/>
            <w:noWrap/>
          </w:tcPr>
          <w:p>
            <w:pPr>
              <w:pStyle w:val="10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w:t>
            </w:r>
            <w:r/>
          </w:p>
        </w:tc>
        <w:tc>
          <w:tcPr>
            <w:tcW w:w="886" w:type="dxa"/>
            <w:vAlign w:val="center"/>
            <w:textDirection w:val="lrTb"/>
            <w:noWrap/>
          </w:tcPr>
          <w:p>
            <w:pPr>
              <w:pStyle w:val="10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766" w:type="dxa"/>
            <w:vAlign w:val="center"/>
            <w:textDirection w:val="lrTb"/>
            <w:noWrap/>
          </w:tcPr>
          <w:p>
            <w:pPr>
              <w:pStyle w:val="10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w:t>
            </w:r>
            <w:r/>
          </w:p>
          <w:p>
            <w:pPr>
              <w:pStyle w:val="10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与技术专长</w:t>
            </w:r>
            <w:r/>
          </w:p>
        </w:tc>
        <w:tc>
          <w:tcPr>
            <w:tcW w:w="1087"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  注</w:t>
            </w:r>
            <w:r/>
          </w:p>
        </w:tc>
      </w:tr>
      <w:tr>
        <w:trPr>
          <w:jc w:val="center"/>
          <w:trHeight w:val="680"/>
        </w:trPr>
        <w:tc>
          <w:tcPr>
            <w:tcW w:w="87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2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2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2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2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bottom w:val="single" w:color="auto" w:sz="4" w:space="0"/>
            </w:tcBorders>
            <w:tcW w:w="192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845"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764"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764"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750"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88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766"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087" w:type="dxa"/>
            <w:vAlign w:val="center"/>
            <w:textDirection w:val="lrTb"/>
            <w:noWrap/>
          </w:tcPr>
          <w:p>
            <w:pPr>
              <w:pStyle w:val="10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投标文件中须根据“第五章  评审方法与评审标准”提供相关说明及证明材料</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333"/>
      <w:r/>
      <w:bookmarkEnd w:id="334"/>
      <w:r/>
      <w:bookmarkEnd w:id="335"/>
      <w:r/>
      <w:bookmarkEnd w:id="336"/>
      <w:r/>
      <w:r/>
    </w:p>
    <w:p>
      <w:pPr>
        <w:pStyle w:val="1009"/>
        <w:keepNext w:val="0"/>
        <w:pageBreakBefore/>
        <w:rPr>
          <w:rFonts w:hint="eastAsia" w:ascii="宋体" w:hAnsi="宋体" w:eastAsia="宋体" w:cs="宋体"/>
          <w:color w:val="auto"/>
          <w:highlight w:val="none"/>
        </w:rPr>
      </w:pPr>
      <w:r/>
      <w:bookmarkStart w:id="338" w:name="_Toc12157"/>
      <w:r/>
      <w:bookmarkStart w:id="339" w:name="_Toc32268"/>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业绩一览表</w:t>
      </w:r>
      <w:bookmarkEnd w:id="338"/>
      <w:r/>
      <w:bookmarkEnd w:id="339"/>
      <w:r/>
      <w:r/>
    </w:p>
    <w:tbl>
      <w:tblPr>
        <w:tblStyle w:val="1018"/>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1839"/>
        <w:gridCol w:w="1422"/>
        <w:gridCol w:w="1669"/>
        <w:gridCol w:w="1784"/>
        <w:gridCol w:w="1151"/>
      </w:tblGrid>
      <w:tr>
        <w:trPr>
          <w:jc w:val="center"/>
          <w:trHeight w:val="588"/>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b/>
                <w:color w:val="auto"/>
                <w:sz w:val="24"/>
                <w:szCs w:val="24"/>
                <w:highlight w:val="none"/>
              </w:rPr>
            </w:pPr>
            <w:r/>
            <w:bookmarkStart w:id="340" w:name="_Toc75437942"/>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项目地址</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完成时间</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业主单位</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  注</w:t>
            </w:r>
            <w:r/>
          </w:p>
        </w:tc>
      </w:tr>
      <w:tr>
        <w:trPr>
          <w:jc w:val="center"/>
          <w:trHeight w:val="393"/>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5"/>
            <w:tcBorders>
              <w:top w:val="single" w:color="auto" w:sz="4" w:space="0"/>
              <w:left w:val="single" w:color="auto" w:sz="4" w:space="0"/>
              <w:bottom w:val="single" w:color="auto" w:sz="4" w:space="0"/>
              <w:right w:val="single" w:color="auto" w:sz="4" w:space="0"/>
            </w:tcBorders>
            <w:tcW w:w="7865"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土地征收成片开发方案调整或编制业绩</w:t>
            </w:r>
            <w:r/>
          </w:p>
        </w:tc>
      </w:tr>
      <w:tr>
        <w:trPr>
          <w:jc w:val="center"/>
          <w:trHeight w:val="317"/>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7"/>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23"/>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4"/>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45"/>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5"/>
            <w:tcBorders>
              <w:top w:val="single" w:color="auto" w:sz="4" w:space="0"/>
              <w:left w:val="single" w:color="auto" w:sz="4" w:space="0"/>
              <w:bottom w:val="single" w:color="auto" w:sz="4" w:space="0"/>
              <w:right w:val="single" w:color="auto" w:sz="4" w:space="0"/>
            </w:tcBorders>
            <w:tcW w:w="7865"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增减挂钩实施</w:t>
            </w:r>
            <w:r>
              <w:rPr>
                <w:rFonts w:hint="eastAsia" w:ascii="宋体" w:hAnsi="宋体" w:eastAsia="宋体" w:cs="宋体"/>
                <w:b/>
                <w:color w:val="auto"/>
                <w:sz w:val="24"/>
                <w:highlight w:val="none"/>
                <w:lang w:val="en-US" w:eastAsia="zh-CN"/>
              </w:rPr>
              <w:t xml:space="preserve">方案报批</w:t>
            </w:r>
            <w:r>
              <w:rPr>
                <w:rFonts w:hint="eastAsia" w:ascii="宋体" w:hAnsi="宋体" w:eastAsia="宋体" w:cs="宋体"/>
                <w:b/>
                <w:color w:val="auto"/>
                <w:sz w:val="24"/>
                <w:szCs w:val="24"/>
                <w:highlight w:val="none"/>
              </w:rPr>
              <w:t xml:space="preserve">业绩</w:t>
            </w:r>
            <w:r/>
          </w:p>
        </w:tc>
      </w:tr>
      <w:tr>
        <w:trPr>
          <w:jc w:val="center"/>
          <w:trHeight w:val="417"/>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2"/>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05"/>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51"/>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w:t>
            </w:r>
            <w:r/>
          </w:p>
        </w:tc>
        <w:tc>
          <w:tcPr>
            <w:gridSpan w:val="5"/>
            <w:tcBorders>
              <w:top w:val="single" w:color="auto" w:sz="4" w:space="0"/>
              <w:left w:val="single" w:color="auto" w:sz="4" w:space="0"/>
              <w:bottom w:val="single" w:color="auto" w:sz="4" w:space="0"/>
              <w:right w:val="single" w:color="auto" w:sz="4" w:space="0"/>
            </w:tcBorders>
            <w:tcW w:w="7865"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独立选址项目用地报批业绩</w:t>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7865"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城镇建设</w:t>
            </w:r>
            <w:r>
              <w:rPr>
                <w:rFonts w:hint="eastAsia" w:ascii="宋体" w:hAnsi="宋体" w:eastAsia="宋体" w:cs="宋体"/>
                <w:b/>
                <w:color w:val="auto"/>
                <w:sz w:val="24"/>
                <w:szCs w:val="24"/>
                <w:highlight w:val="none"/>
              </w:rPr>
              <w:t xml:space="preserve">用地报批业绩</w:t>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0"/>
        </w:trPr>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1、上述业绩应为投标人根据“第五章  评审方法与评审标准”提供相关说明及证明材料（如果有的话）。</w:t>
      </w:r>
      <w:r/>
    </w:p>
    <w:p>
      <w:pPr>
        <w:ind w:firstLine="6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2、如有需要说明的事项，请在备注中列明。</w:t>
      </w:r>
      <w:r/>
    </w:p>
    <w:p>
      <w:pPr>
        <w:ind w:firstLine="60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3、我方在此声明，我方所提供的以上资料均真实和准确；我方保证上述信息的真实和准确，并愿意承担因我方就此弄虚作假所引起的一切法律后果。</w:t>
      </w:r>
      <w:r/>
    </w:p>
    <w:p>
      <w:pPr>
        <w:ind w:firstLine="60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340"/>
      <w:r/>
      <w:r/>
    </w:p>
    <w:p>
      <w:pPr>
        <w:pStyle w:val="1009"/>
        <w:keepNext w:val="0"/>
        <w:pageBreakBefore/>
        <w:rPr>
          <w:rFonts w:hint="eastAsia" w:ascii="宋体" w:hAnsi="宋体" w:eastAsia="宋体" w:cs="宋体"/>
          <w:color w:val="auto"/>
          <w:highlight w:val="none"/>
        </w:rPr>
      </w:pPr>
      <w:r/>
      <w:bookmarkStart w:id="341" w:name="_Toc14574"/>
      <w:r/>
      <w:bookmarkStart w:id="342" w:name="_Toc9843"/>
      <w:r/>
      <w:bookmarkStart w:id="343" w:name="_Toc69302323"/>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商务条件响应及偏离表</w:t>
      </w:r>
      <w:bookmarkEnd w:id="341"/>
      <w:r/>
      <w:bookmarkEnd w:id="342"/>
      <w:r/>
      <w:bookmarkEnd w:id="343"/>
      <w:r/>
      <w:r/>
    </w:p>
    <w:tbl>
      <w:tblPr>
        <w:tblStyle w:val="1018"/>
        <w:tblW w:w="953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0"/>
        <w:gridCol w:w="1412"/>
        <w:gridCol w:w="4097"/>
      </w:tblGrid>
      <w:tr>
        <w:trPr>
          <w:trHeight w:val="424"/>
        </w:trPr>
        <w:tc>
          <w:tcPr>
            <w:tcW w:w="403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合同条款号</w:t>
            </w:r>
            <w:r/>
          </w:p>
        </w:tc>
        <w:tc>
          <w:tcPr>
            <w:tcW w:w="1412"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W w:w="409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合同组成部分</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付款方式、开票方式</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服务期限和地点</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双方权利义务</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1.7 违约责任</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合同的解除</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合同争议的解决</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合同生效及其他</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定义</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技术规范</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知识产权</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履约检查和问题反馈</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技术资料和保密义务</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质量保证</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 延迟履行</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合同变更</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合同转让和分包</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不可抗力</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税费</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乙方破产</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合同中止、终止</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通知和送达</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 合同使用的文字和适用的法律</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3"/>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 履约保证金</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注：1、投标人应据实、详细填写上述表格，因表述含糊导致的评标风险将由投标人承担。</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2、若无偏离，在“有无偏离”栏中填写“无”；若有偏离在“有无偏离”栏中填写“有”并在“偏离内容及原因”栏中作出说明。</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3、投标人如不能满足本项目的付款方式，将作无效投标处理。</w:t>
      </w:r>
      <w:bookmarkEnd w:id="309"/>
      <w:r/>
      <w:bookmarkEnd w:id="310"/>
      <w:r/>
      <w:bookmarkEnd w:id="311"/>
      <w:r/>
      <w:bookmarkEnd w:id="312"/>
      <w:r/>
      <w:bookmarkEnd w:id="313"/>
      <w:r/>
      <w:r/>
    </w:p>
    <w:p>
      <w:pP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br w:type="page" w:clear="all"/>
      </w:r>
      <w:r/>
    </w:p>
    <w:p>
      <w:pPr>
        <w:pStyle w:val="1009"/>
        <w:keepNext w:val="0"/>
        <w:pageBreakBefore/>
        <w:rPr>
          <w:rFonts w:hint="eastAsia" w:ascii="宋体" w:hAnsi="宋体" w:eastAsia="宋体" w:cs="宋体"/>
          <w:color w:val="auto"/>
          <w:highlight w:val="none"/>
        </w:rPr>
      </w:pPr>
      <w:r/>
      <w:bookmarkStart w:id="344" w:name="_Toc26804"/>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供应商与其他单位存在直接控股、管理关系情况表</w:t>
      </w:r>
      <w:bookmarkEnd w:id="344"/>
      <w:r/>
      <w:r/>
    </w:p>
    <w:p>
      <w:pPr>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bl>
      <w:tblPr>
        <w:tblStyle w:val="1018"/>
        <w:tblW w:w="10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04"/>
        <w:gridCol w:w="1506"/>
        <w:gridCol w:w="1580"/>
        <w:gridCol w:w="1440"/>
        <w:gridCol w:w="1711"/>
        <w:gridCol w:w="1268"/>
      </w:tblGrid>
      <w:tr>
        <w:trPr>
          <w:jc w:val="center"/>
          <w:trHeight w:val="766"/>
        </w:trPr>
        <w:tc>
          <w:tcPr>
            <w:gridSpan w:val="4"/>
            <w:tcW w:w="62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shd w:val="clear" w:color="auto" w:fill="ffffff"/>
                <w:lang w:val="en-US" w:eastAsia="zh-CN"/>
              </w:rPr>
              <w:t xml:space="preserve">供应商</w:t>
            </w:r>
            <w:r>
              <w:rPr>
                <w:rFonts w:hint="eastAsia" w:ascii="宋体" w:hAnsi="宋体" w:eastAsia="宋体" w:cs="宋体"/>
                <w:b/>
                <w:color w:val="auto"/>
                <w:sz w:val="24"/>
                <w:szCs w:val="24"/>
                <w:highlight w:val="none"/>
                <w:shd w:val="clear" w:color="auto" w:fill="ffffff"/>
              </w:rPr>
              <w:t xml:space="preserve">存在直接股权关系</w:t>
            </w:r>
            <w:r/>
          </w:p>
        </w:tc>
        <w:tc>
          <w:tcPr>
            <w:gridSpan w:val="3"/>
            <w:tcW w:w="4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shd w:val="clear" w:color="auto" w:fill="ffffff"/>
                <w:lang w:val="en-US" w:eastAsia="zh-CN"/>
              </w:rPr>
              <w:t xml:space="preserve">供应商</w:t>
            </w:r>
            <w:r>
              <w:rPr>
                <w:rFonts w:hint="eastAsia" w:ascii="宋体" w:hAnsi="宋体" w:eastAsia="宋体" w:cs="宋体"/>
                <w:b/>
                <w:color w:val="auto"/>
                <w:sz w:val="24"/>
                <w:szCs w:val="24"/>
                <w:highlight w:val="none"/>
                <w:shd w:val="clear" w:color="auto" w:fill="ffffff"/>
              </w:rPr>
              <w:t xml:space="preserve">存在直接管理关系</w:t>
            </w:r>
            <w:r/>
          </w:p>
        </w:tc>
      </w:tr>
      <w:tr>
        <w:trPr>
          <w:jc w:val="center"/>
          <w:trHeight w:val="768"/>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是否直接控股</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注：1、本表仅须填写与投标人存在直接股权、管理关系的企业情况。投标人应按上表要求据实填写，如填写“无”或不填写，均视为投标人声明不存在有关情形。</w:t>
      </w:r>
      <w:r/>
    </w:p>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2、其中“直接控股”是指投标人与大型企业之间存在直接投资并控股（非普通持股）的关系。</w:t>
      </w:r>
      <w:r/>
    </w:p>
    <w:p>
      <w:pPr>
        <w:pStyle w:val="1027"/>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企业名称（加盖CA电子公章）：</w:t>
      </w:r>
      <w:r/>
    </w:p>
    <w:p>
      <w:pPr>
        <w:pStyle w:val="1027"/>
        <w:ind w:left="4060" w:right="2166" w:firstLine="358"/>
        <w:spacing w:before="35" w:line="440" w:lineRule="exact"/>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日期：</w:t>
      </w:r>
      <w:r/>
    </w:p>
    <w:sectPr>
      <w:footerReference w:type="default" r:id="rId18"/>
      <w:footerReference w:type="first" r:id="rId19"/>
      <w:footnotePr/>
      <w:endnotePr/>
      <w:type w:val="nextPage"/>
      <w:pgSz w:w="11907" w:h="16840" w:orient="portrait"/>
      <w:pgMar w:top="1134" w:right="882" w:bottom="1418"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Tahoma">
    <w:panose1 w:val="020B0604030504040204"/>
  </w:font>
  <w:font w:name="仿宋_GB2312">
    <w:panose1 w:val="02010609060101010101"/>
  </w:font>
  <w:font w:name="Courier New">
    <w:panose1 w:val="02070309020205020404"/>
  </w:font>
  <w:font w:name="Berlin Sans FB Demi">
    <w:panose1 w:val="020E0802020502020306"/>
  </w:font>
  <w:font w:name="Calibri Light">
    <w:panose1 w:val="020F0302020204030204"/>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4"/>
      </w:rPr>
      <w:framePr w:wrap="around" w:vAnchor="text" w:hAnchor="margin" w:xAlign="right" w:y="1"/>
    </w:pPr>
    <w:r>
      <w:fldChar w:fldCharType="begin"/>
    </w:r>
    <w:r>
      <w:rPr>
        <w:rStyle w:val="1064"/>
      </w:rPr>
      <w:instrText xml:space="preserve">PAGE  </w:instrText>
    </w:r>
    <w:r>
      <w:fldChar w:fldCharType="separate"/>
    </w:r>
    <w:r>
      <w:rPr>
        <w:rStyle w:val="1064"/>
      </w:rPr>
      <w:t xml:space="preserve">16</w:t>
    </w:r>
    <w:r>
      <w:fldChar w:fldCharType="end"/>
    </w:r>
    <w:r/>
  </w:p>
  <w:p>
    <w:pPr>
      <w:pStyle w:val="104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2"/>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2"/>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2"/>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2"/>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2"/>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pPr>
    <w:r>
      <w:rPr>
        <w:rFonts w:hint="eastAsia"/>
        <w:bCs/>
        <w:sz w:val="18"/>
        <w:szCs w:val="18"/>
      </w:rPr>
      <w:t xml:space="preserve">涵熙（苏州）工程顾问有限公司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left"/>
      <w:tabs>
        <w:tab w:val="left" w:pos="3355" w:leader="none"/>
        <w:tab w:val="clear" w:pos="4153" w:leader="none"/>
      </w:tabs>
      <w:pBdr>
        <w:bottom w:val="none" w:color="auto" w:sz="0" w:space="1"/>
      </w:pBdr>
    </w:pPr>
    <w:r>
      <w:rPr>
        <w:rFonts w:hint="eastAsia"/>
      </w:rPr>
      <w:t xml:space="preserve">涵熙（苏州）工程顾问有限公司</w:t>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3"/>
      <w:isLgl w:val="false"/>
      <w:suff w:val="tab"/>
      <w:lvlText w:val="%1、"/>
      <w:lvlJc w:val="left"/>
      <w:pPr>
        <w:ind w:left="3211" w:hanging="375"/>
        <w:tabs>
          <w:tab w:val="left" w:pos="3211" w:leader="none"/>
        </w:tabs>
      </w:pPr>
      <w:rPr>
        <w:rFonts w:hint="eastAsia"/>
      </w:rPr>
    </w:lvl>
    <w:lvl w:ilvl="1">
      <w:start w:val="1"/>
      <w:numFmt w:val="lowerLetter"/>
      <w:isLgl w:val="false"/>
      <w:suff w:val="tab"/>
      <w:lvlText w:val="%2)"/>
      <w:lvlJc w:val="left"/>
      <w:pPr>
        <w:ind w:left="3676" w:hanging="420"/>
        <w:tabs>
          <w:tab w:val="left" w:pos="3676" w:leader="none"/>
        </w:tabs>
      </w:pPr>
    </w:lvl>
    <w:lvl w:ilvl="2">
      <w:start w:val="1"/>
      <w:numFmt w:val="lowerRoman"/>
      <w:isLgl w:val="false"/>
      <w:suff w:val="tab"/>
      <w:lvlText w:val="%3."/>
      <w:lvlJc w:val="right"/>
      <w:pPr>
        <w:ind w:left="4096" w:hanging="420"/>
        <w:tabs>
          <w:tab w:val="left" w:pos="4096" w:leader="none"/>
        </w:tabs>
      </w:pPr>
    </w:lvl>
    <w:lvl w:ilvl="3">
      <w:start w:val="1"/>
      <w:numFmt w:val="decimal"/>
      <w:isLgl w:val="false"/>
      <w:suff w:val="tab"/>
      <w:lvlText w:val="%4."/>
      <w:lvlJc w:val="left"/>
      <w:pPr>
        <w:ind w:left="4516" w:hanging="420"/>
        <w:tabs>
          <w:tab w:val="left" w:pos="4516" w:leader="none"/>
        </w:tabs>
      </w:pPr>
    </w:lvl>
    <w:lvl w:ilvl="4">
      <w:start w:val="1"/>
      <w:numFmt w:val="lowerLetter"/>
      <w:isLgl w:val="false"/>
      <w:suff w:val="tab"/>
      <w:lvlText w:val="%5)"/>
      <w:lvlJc w:val="left"/>
      <w:pPr>
        <w:ind w:left="4936" w:hanging="420"/>
        <w:tabs>
          <w:tab w:val="left" w:pos="4936" w:leader="none"/>
        </w:tabs>
      </w:pPr>
    </w:lvl>
    <w:lvl w:ilvl="5">
      <w:start w:val="1"/>
      <w:numFmt w:val="lowerRoman"/>
      <w:isLgl w:val="false"/>
      <w:suff w:val="tab"/>
      <w:lvlText w:val="%6."/>
      <w:lvlJc w:val="right"/>
      <w:pPr>
        <w:ind w:left="5356" w:hanging="420"/>
        <w:tabs>
          <w:tab w:val="left" w:pos="5356" w:leader="none"/>
        </w:tabs>
      </w:pPr>
    </w:lvl>
    <w:lvl w:ilvl="6">
      <w:start w:val="1"/>
      <w:numFmt w:val="decimal"/>
      <w:isLgl w:val="false"/>
      <w:suff w:val="tab"/>
      <w:lvlText w:val="%7."/>
      <w:lvlJc w:val="left"/>
      <w:pPr>
        <w:ind w:left="5776" w:hanging="420"/>
        <w:tabs>
          <w:tab w:val="left" w:pos="5776" w:leader="none"/>
        </w:tabs>
      </w:pPr>
    </w:lvl>
    <w:lvl w:ilvl="7">
      <w:start w:val="1"/>
      <w:numFmt w:val="lowerLetter"/>
      <w:isLgl w:val="false"/>
      <w:suff w:val="tab"/>
      <w:lvlText w:val="%8)"/>
      <w:lvlJc w:val="left"/>
      <w:pPr>
        <w:ind w:left="6196" w:hanging="420"/>
        <w:tabs>
          <w:tab w:val="left" w:pos="6196" w:leader="none"/>
        </w:tabs>
      </w:pPr>
    </w:lvl>
    <w:lvl w:ilvl="8">
      <w:start w:val="1"/>
      <w:numFmt w:val="lowerRoman"/>
      <w:isLgl w:val="false"/>
      <w:suff w:val="tab"/>
      <w:lvlText w:val="%9."/>
      <w:lvlJc w:val="right"/>
      <w:pPr>
        <w:ind w:left="6616" w:hanging="420"/>
        <w:tabs>
          <w:tab w:val="left" w:pos="6616" w:leader="none"/>
        </w:tabs>
      </w:pPr>
    </w:lvl>
  </w:abstractNum>
  <w:abstractNum w:abstractNumId="1">
    <w:multiLevelType w:val="hybridMultilevel"/>
    <w:lvl w:ilvl="0">
      <w:start w:val="1"/>
      <w:numFmt w:val="decimal"/>
      <w:pStyle w:val="1150"/>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9">
    <w:name w:val="Heading 1 Char"/>
    <w:basedOn w:val="1017"/>
    <w:link w:val="1008"/>
    <w:uiPriority w:val="9"/>
    <w:rPr>
      <w:rFonts w:ascii="Arial" w:hAnsi="Arial" w:eastAsia="Arial" w:cs="Arial"/>
      <w:sz w:val="40"/>
      <w:szCs w:val="40"/>
    </w:rPr>
  </w:style>
  <w:style w:type="character" w:styleId="860">
    <w:name w:val="Heading 2 Char"/>
    <w:basedOn w:val="1017"/>
    <w:link w:val="1009"/>
    <w:uiPriority w:val="9"/>
    <w:rPr>
      <w:rFonts w:ascii="Arial" w:hAnsi="Arial" w:eastAsia="Arial" w:cs="Arial"/>
      <w:sz w:val="34"/>
    </w:rPr>
  </w:style>
  <w:style w:type="character" w:styleId="861">
    <w:name w:val="Heading 3 Char"/>
    <w:basedOn w:val="1017"/>
    <w:link w:val="1010"/>
    <w:uiPriority w:val="9"/>
    <w:rPr>
      <w:rFonts w:ascii="Arial" w:hAnsi="Arial" w:eastAsia="Arial" w:cs="Arial"/>
      <w:sz w:val="30"/>
      <w:szCs w:val="30"/>
    </w:rPr>
  </w:style>
  <w:style w:type="character" w:styleId="862">
    <w:name w:val="Heading 4 Char"/>
    <w:basedOn w:val="1017"/>
    <w:link w:val="1011"/>
    <w:uiPriority w:val="9"/>
    <w:rPr>
      <w:rFonts w:ascii="Arial" w:hAnsi="Arial" w:eastAsia="Arial" w:cs="Arial"/>
      <w:b/>
      <w:bCs/>
      <w:sz w:val="26"/>
      <w:szCs w:val="26"/>
    </w:rPr>
  </w:style>
  <w:style w:type="character" w:styleId="863">
    <w:name w:val="Heading 5 Char"/>
    <w:basedOn w:val="1017"/>
    <w:link w:val="1012"/>
    <w:uiPriority w:val="9"/>
    <w:rPr>
      <w:rFonts w:ascii="Arial" w:hAnsi="Arial" w:eastAsia="Arial" w:cs="Arial"/>
      <w:b/>
      <w:bCs/>
      <w:sz w:val="24"/>
      <w:szCs w:val="24"/>
    </w:rPr>
  </w:style>
  <w:style w:type="character" w:styleId="864">
    <w:name w:val="Heading 6 Char"/>
    <w:basedOn w:val="1017"/>
    <w:link w:val="1013"/>
    <w:uiPriority w:val="9"/>
    <w:rPr>
      <w:rFonts w:ascii="Arial" w:hAnsi="Arial" w:eastAsia="Arial" w:cs="Arial"/>
      <w:b/>
      <w:bCs/>
      <w:sz w:val="22"/>
      <w:szCs w:val="22"/>
    </w:rPr>
  </w:style>
  <w:style w:type="character" w:styleId="865">
    <w:name w:val="Heading 7 Char"/>
    <w:basedOn w:val="1017"/>
    <w:link w:val="1014"/>
    <w:uiPriority w:val="9"/>
    <w:rPr>
      <w:rFonts w:ascii="Arial" w:hAnsi="Arial" w:eastAsia="Arial" w:cs="Arial"/>
      <w:b/>
      <w:bCs/>
      <w:i/>
      <w:iCs/>
      <w:sz w:val="22"/>
      <w:szCs w:val="22"/>
    </w:rPr>
  </w:style>
  <w:style w:type="character" w:styleId="866">
    <w:name w:val="Heading 8 Char"/>
    <w:basedOn w:val="1017"/>
    <w:link w:val="1015"/>
    <w:uiPriority w:val="9"/>
    <w:rPr>
      <w:rFonts w:ascii="Arial" w:hAnsi="Arial" w:eastAsia="Arial" w:cs="Arial"/>
      <w:i/>
      <w:iCs/>
      <w:sz w:val="22"/>
      <w:szCs w:val="22"/>
    </w:rPr>
  </w:style>
  <w:style w:type="character" w:styleId="867">
    <w:name w:val="Heading 9 Char"/>
    <w:basedOn w:val="1017"/>
    <w:link w:val="1016"/>
    <w:uiPriority w:val="9"/>
    <w:rPr>
      <w:rFonts w:ascii="Arial" w:hAnsi="Arial" w:eastAsia="Arial" w:cs="Arial"/>
      <w:i/>
      <w:iCs/>
      <w:sz w:val="21"/>
      <w:szCs w:val="21"/>
    </w:rPr>
  </w:style>
  <w:style w:type="character" w:styleId="868">
    <w:name w:val="Title Char"/>
    <w:basedOn w:val="1017"/>
    <w:link w:val="1060"/>
    <w:uiPriority w:val="10"/>
    <w:rPr>
      <w:sz w:val="48"/>
      <w:szCs w:val="48"/>
    </w:rPr>
  </w:style>
  <w:style w:type="character" w:styleId="869">
    <w:name w:val="Subtitle Char"/>
    <w:basedOn w:val="1017"/>
    <w:link w:val="1049"/>
    <w:uiPriority w:val="11"/>
    <w:rPr>
      <w:sz w:val="24"/>
      <w:szCs w:val="24"/>
    </w:rPr>
  </w:style>
  <w:style w:type="character" w:styleId="870">
    <w:name w:val="Quote Char"/>
    <w:link w:val="1130"/>
    <w:uiPriority w:val="29"/>
    <w:rPr>
      <w:i/>
    </w:rPr>
  </w:style>
  <w:style w:type="character" w:styleId="871">
    <w:name w:val="Intense Quote Char"/>
    <w:link w:val="1113"/>
    <w:uiPriority w:val="30"/>
    <w:rPr>
      <w:i/>
    </w:rPr>
  </w:style>
  <w:style w:type="character" w:styleId="872">
    <w:name w:val="Header Char"/>
    <w:basedOn w:val="1017"/>
    <w:link w:val="1043"/>
    <w:uiPriority w:val="99"/>
  </w:style>
  <w:style w:type="character" w:styleId="873">
    <w:name w:val="Footer Char"/>
    <w:basedOn w:val="1017"/>
    <w:link w:val="1042"/>
    <w:uiPriority w:val="99"/>
  </w:style>
  <w:style w:type="character" w:styleId="874">
    <w:name w:val="Caption Char"/>
    <w:basedOn w:val="1022"/>
    <w:link w:val="1042"/>
    <w:uiPriority w:val="99"/>
  </w:style>
  <w:style w:type="table" w:styleId="875">
    <w:name w:val="Table Grid Light"/>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10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10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basedOn w:val="10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basedOn w:val="10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basedOn w:val="10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basedOn w:val="10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basedOn w:val="10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basedOn w:val="10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basedOn w:val="10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11">
    <w:name w:val="Grid Table 5 Dark - Accent 2"/>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2">
    <w:name w:val="Grid Table 5 Dark - Accent 3"/>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3">
    <w:name w:val="Grid Table 5 Dark- Accent 4"/>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4">
    <w:name w:val="Grid Table 5 Dark - Accent 5"/>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5">
    <w:name w:val="Grid Table 5 Dark - Accent 6"/>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6">
    <w:name w:val="Grid Table 6 Colorful"/>
    <w:basedOn w:val="10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basedOn w:val="10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basedOn w:val="10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basedOn w:val="10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2">
    <w:name w:val="Grid Table 6 Colorful - Accent 6"/>
    <w:basedOn w:val="10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3">
    <w:name w:val="Grid Table 7 Colorful"/>
    <w:basedOn w:val="10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basedOn w:val="10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basedOn w:val="10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basedOn w:val="10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basedOn w:val="10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basedOn w:val="10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basedOn w:val="10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basedOn w:val="10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basedOn w:val="10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basedOn w:val="10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basedOn w:val="10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basedOn w:val="10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basedOn w:val="10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basedOn w:val="10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basedOn w:val="10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basedOn w:val="10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basedOn w:val="10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basedOn w:val="10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basedOn w:val="10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basedOn w:val="10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basedOn w:val="10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basedOn w:val="10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6">
    <w:name w:val="List Table 3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7">
    <w:name w:val="List Table 3 - Accent 3"/>
    <w:basedOn w:val="10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8">
    <w:name w:val="List Table 3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9">
    <w:name w:val="List Table 3 - Accent 5"/>
    <w:basedOn w:val="10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50">
    <w:name w:val="List Table 3 - Accent 6"/>
    <w:basedOn w:val="10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1">
    <w:name w:val="List Table 4"/>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basedOn w:val="10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3">
    <w:name w:val="List Table 4 - Accent 2"/>
    <w:basedOn w:val="10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4">
    <w:name w:val="List Table 4 - Accent 3"/>
    <w:basedOn w:val="10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5">
    <w:name w:val="List Table 4 - Accent 4"/>
    <w:basedOn w:val="10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6">
    <w:name w:val="List Table 4 - Accent 5"/>
    <w:basedOn w:val="10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7">
    <w:name w:val="List Table 4 - Accent 6"/>
    <w:basedOn w:val="10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8">
    <w:name w:val="List Table 5 Dark"/>
    <w:basedOn w:val="10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basedOn w:val="10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basedOn w:val="10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basedOn w:val="10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basedOn w:val="10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basedOn w:val="10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basedOn w:val="10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basedOn w:val="10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basedOn w:val="10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7">
    <w:name w:val="List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8">
    <w:name w:val="List Table 6 Colorful - Accent 3"/>
    <w:basedOn w:val="10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9">
    <w:name w:val="List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0">
    <w:name w:val="List Table 6 Colorful - Accent 5"/>
    <w:basedOn w:val="10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71">
    <w:name w:val="List Table 6 Colorful - Accent 6"/>
    <w:basedOn w:val="10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2">
    <w:name w:val="List Table 7 Colorful"/>
    <w:basedOn w:val="10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basedOn w:val="10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4">
    <w:name w:val="List Table 7 Colorful - Accent 2"/>
    <w:basedOn w:val="10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5">
    <w:name w:val="List Table 7 Colorful - Accent 3"/>
    <w:basedOn w:val="10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6">
    <w:name w:val="List Table 7 Colorful - Accent 4"/>
    <w:basedOn w:val="10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7">
    <w:name w:val="List Table 7 Colorful - Accent 5"/>
    <w:basedOn w:val="10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8">
    <w:name w:val="List Table 7 Colorful - Accent 6"/>
    <w:basedOn w:val="10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9">
    <w:name w:val="Lined - Accent"/>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1">
    <w:name w:val="Lined - Accent 2"/>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2">
    <w:name w:val="Lined - Accent 3"/>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3">
    <w:name w:val="Lined - Accent 4"/>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4">
    <w:name w:val="Lined - Accent 5"/>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5">
    <w:name w:val="Lined - Accent 6"/>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6">
    <w:name w:val="Bordered &amp; Lined - Accent"/>
    <w:basedOn w:val="10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basedOn w:val="10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8">
    <w:name w:val="Bordered &amp; Lined - Accent 2"/>
    <w:basedOn w:val="10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9">
    <w:name w:val="Bordered &amp; Lined - Accent 3"/>
    <w:basedOn w:val="10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0">
    <w:name w:val="Bordered &amp; Lined - Accent 4"/>
    <w:basedOn w:val="10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1">
    <w:name w:val="Bordered &amp; Lined - Accent 5"/>
    <w:basedOn w:val="10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2">
    <w:name w:val="Bordered &amp; Lined - Accent 6"/>
    <w:basedOn w:val="10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3">
    <w:name w:val="Bordered"/>
    <w:basedOn w:val="10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0">
    <w:name w:val="footnote text"/>
    <w:basedOn w:val="1007"/>
    <w:link w:val="1001"/>
    <w:uiPriority w:val="99"/>
    <w:semiHidden/>
    <w:unhideWhenUsed/>
    <w:pPr>
      <w:spacing w:after="40" w:line="240" w:lineRule="auto"/>
    </w:pPr>
    <w:rPr>
      <w:sz w:val="18"/>
    </w:rPr>
  </w:style>
  <w:style w:type="character" w:styleId="1001">
    <w:name w:val="Footnote Text Char"/>
    <w:link w:val="1000"/>
    <w:uiPriority w:val="99"/>
    <w:rPr>
      <w:sz w:val="18"/>
    </w:rPr>
  </w:style>
  <w:style w:type="character" w:styleId="1002">
    <w:name w:val="footnote reference"/>
    <w:basedOn w:val="1017"/>
    <w:uiPriority w:val="99"/>
    <w:unhideWhenUsed/>
    <w:rPr>
      <w:vertAlign w:val="superscript"/>
    </w:rPr>
  </w:style>
  <w:style w:type="paragraph" w:styleId="1003">
    <w:name w:val="endnote text"/>
    <w:basedOn w:val="1007"/>
    <w:link w:val="1004"/>
    <w:uiPriority w:val="99"/>
    <w:semiHidden/>
    <w:unhideWhenUsed/>
    <w:pPr>
      <w:spacing w:after="0" w:line="240" w:lineRule="auto"/>
    </w:pPr>
    <w:rPr>
      <w:sz w:val="20"/>
    </w:rPr>
  </w:style>
  <w:style w:type="character" w:styleId="1004">
    <w:name w:val="Endnote Text Char"/>
    <w:link w:val="1003"/>
    <w:uiPriority w:val="99"/>
    <w:rPr>
      <w:sz w:val="20"/>
    </w:rPr>
  </w:style>
  <w:style w:type="character" w:styleId="1005">
    <w:name w:val="endnote reference"/>
    <w:basedOn w:val="1017"/>
    <w:uiPriority w:val="99"/>
    <w:semiHidden/>
    <w:unhideWhenUsed/>
    <w:rPr>
      <w:vertAlign w:val="superscript"/>
    </w:rPr>
  </w:style>
  <w:style w:type="paragraph" w:styleId="1006">
    <w:name w:val="TOC Heading"/>
    <w:uiPriority w:val="39"/>
    <w:unhideWhenUsed/>
  </w:style>
  <w:style w:type="paragraph" w:styleId="1007" w:default="1">
    <w:name w:val="Normal"/>
    <w:uiPriority w:val="0"/>
    <w:qFormat/>
    <w:pPr>
      <w:jc w:val="both"/>
      <w:widowControl w:val="off"/>
    </w:pPr>
    <w:rPr>
      <w:rFonts w:ascii="Calibri" w:hAnsi="Calibri" w:eastAsia="宋体" w:cs="Times New Roman"/>
      <w:sz w:val="21"/>
      <w:lang w:val="en-US" w:eastAsia="zh-CN" w:bidi="ar-SA"/>
    </w:rPr>
  </w:style>
  <w:style w:type="paragraph" w:styleId="1008">
    <w:name w:val="Heading 1"/>
    <w:basedOn w:val="1007"/>
    <w:next w:val="1007"/>
    <w:link w:val="1081"/>
    <w:uiPriority w:val="0"/>
    <w:qFormat/>
    <w:pPr>
      <w:jc w:val="center"/>
      <w:keepNext/>
      <w:tabs>
        <w:tab w:val="left" w:pos="200" w:leader="none"/>
      </w:tabs>
      <w:outlineLvl w:val="0"/>
    </w:pPr>
    <w:rPr>
      <w:rFonts w:ascii="宋体" w:hAnsi="宋体"/>
      <w:b/>
      <w:sz w:val="36"/>
    </w:rPr>
  </w:style>
  <w:style w:type="paragraph" w:styleId="1009">
    <w:name w:val="Heading 2"/>
    <w:basedOn w:val="1007"/>
    <w:next w:val="1007"/>
    <w:link w:val="1082"/>
    <w:uiPriority w:val="0"/>
    <w:qFormat/>
    <w:pPr>
      <w:jc w:val="center"/>
      <w:keepNext/>
      <w:outlineLvl w:val="1"/>
    </w:pPr>
    <w:rPr>
      <w:rFonts w:eastAsia="楷体_GB2312"/>
      <w:b/>
      <w:bCs/>
      <w:sz w:val="28"/>
      <w:szCs w:val="28"/>
    </w:rPr>
  </w:style>
  <w:style w:type="paragraph" w:styleId="1010">
    <w:name w:val="Heading 3"/>
    <w:basedOn w:val="1007"/>
    <w:next w:val="1007"/>
    <w:link w:val="1083"/>
    <w:uiPriority w:val="9"/>
    <w:qFormat/>
    <w:pPr>
      <w:jc w:val="center"/>
      <w:keepNext/>
      <w:outlineLvl w:val="2"/>
    </w:pPr>
    <w:rPr>
      <w:rFonts w:ascii="宋体" w:hAnsi="宋体"/>
      <w:sz w:val="28"/>
    </w:rPr>
  </w:style>
  <w:style w:type="paragraph" w:styleId="1011">
    <w:name w:val="Heading 4"/>
    <w:basedOn w:val="1007"/>
    <w:next w:val="1007"/>
    <w:link w:val="1084"/>
    <w:uiPriority w:val="9"/>
    <w:qFormat/>
    <w:pPr>
      <w:keepNext/>
      <w:outlineLvl w:val="3"/>
    </w:pPr>
    <w:rPr>
      <w:b/>
      <w:bCs/>
      <w:sz w:val="18"/>
    </w:rPr>
  </w:style>
  <w:style w:type="paragraph" w:styleId="1012">
    <w:name w:val="Heading 5"/>
    <w:basedOn w:val="1007"/>
    <w:next w:val="1007"/>
    <w:link w:val="1085"/>
    <w:uiPriority w:val="9"/>
    <w:qFormat/>
    <w:pPr>
      <w:jc w:val="center"/>
      <w:keepNext/>
      <w:outlineLvl w:val="4"/>
    </w:pPr>
    <w:rPr>
      <w:b/>
      <w:bCs/>
      <w:sz w:val="18"/>
    </w:rPr>
  </w:style>
  <w:style w:type="paragraph" w:styleId="1013">
    <w:name w:val="Heading 6"/>
    <w:basedOn w:val="1007"/>
    <w:next w:val="1007"/>
    <w:link w:val="1086"/>
    <w:uiPriority w:val="9"/>
    <w:qFormat/>
    <w:pPr>
      <w:keepLines/>
      <w:keepNext/>
      <w:spacing w:before="120" w:line="252" w:lineRule="auto"/>
      <w:widowControl/>
      <w:outlineLvl w:val="5"/>
    </w:pPr>
    <w:rPr>
      <w:rFonts w:ascii="Calibri Light" w:hAnsi="Calibri Light"/>
      <w:b/>
      <w:bCs/>
      <w:i/>
      <w:iCs/>
      <w:sz w:val="20"/>
    </w:rPr>
  </w:style>
  <w:style w:type="paragraph" w:styleId="1014">
    <w:name w:val="Heading 7"/>
    <w:basedOn w:val="1007"/>
    <w:next w:val="1007"/>
    <w:link w:val="1087"/>
    <w:uiPriority w:val="9"/>
    <w:qFormat/>
    <w:pPr>
      <w:keepLines/>
      <w:keepNext/>
      <w:spacing w:before="120" w:line="252" w:lineRule="auto"/>
      <w:widowControl/>
      <w:outlineLvl w:val="6"/>
    </w:pPr>
    <w:rPr>
      <w:i/>
      <w:iCs/>
      <w:sz w:val="20"/>
    </w:rPr>
  </w:style>
  <w:style w:type="paragraph" w:styleId="1015">
    <w:name w:val="Heading 8"/>
    <w:basedOn w:val="1007"/>
    <w:next w:val="1007"/>
    <w:link w:val="1088"/>
    <w:uiPriority w:val="9"/>
    <w:qFormat/>
    <w:pPr>
      <w:keepLines/>
      <w:keepNext/>
      <w:spacing w:before="120" w:line="252" w:lineRule="auto"/>
      <w:widowControl/>
      <w:outlineLvl w:val="7"/>
    </w:pPr>
    <w:rPr>
      <w:b/>
      <w:bCs/>
      <w:sz w:val="20"/>
    </w:rPr>
  </w:style>
  <w:style w:type="paragraph" w:styleId="1016">
    <w:name w:val="Heading 9"/>
    <w:basedOn w:val="1007"/>
    <w:next w:val="1007"/>
    <w:link w:val="1089"/>
    <w:uiPriority w:val="9"/>
    <w:qFormat/>
    <w:pPr>
      <w:keepLines/>
      <w:keepNext/>
      <w:spacing w:before="120" w:line="252" w:lineRule="auto"/>
      <w:widowControl/>
      <w:outlineLvl w:val="8"/>
    </w:pPr>
    <w:rPr>
      <w:i/>
      <w:iCs/>
      <w:sz w:val="20"/>
    </w:rPr>
  </w:style>
  <w:style w:type="character" w:styleId="1017" w:default="1">
    <w:name w:val="Default Paragraph Font"/>
    <w:uiPriority w:val="1"/>
    <w:semiHidden/>
    <w:unhideWhenUsed/>
    <w:qFormat/>
  </w:style>
  <w:style w:type="table" w:styleId="1018" w:default="1">
    <w:name w:val="Normal Table"/>
    <w:uiPriority w:val="99"/>
    <w:semiHidden/>
    <w:unhideWhenUsed/>
    <w:qFormat/>
    <w:tblPr>
      <w:tblCellMar>
        <w:left w:w="108" w:type="dxa"/>
        <w:top w:w="0" w:type="dxa"/>
        <w:right w:w="108" w:type="dxa"/>
        <w:bottom w:w="0" w:type="dxa"/>
      </w:tblCellMar>
    </w:tblPr>
  </w:style>
  <w:style w:type="paragraph" w:styleId="1019">
    <w:name w:val="toc 7"/>
    <w:basedOn w:val="1007"/>
    <w:next w:val="1007"/>
    <w:uiPriority w:val="0"/>
    <w:semiHidden/>
    <w:qFormat/>
    <w:pPr>
      <w:ind w:left="1260"/>
      <w:jc w:val="left"/>
    </w:pPr>
    <w:rPr>
      <w:szCs w:val="21"/>
    </w:rPr>
  </w:style>
  <w:style w:type="paragraph" w:styleId="1020">
    <w:name w:val="index 8"/>
    <w:basedOn w:val="1007"/>
    <w:next w:val="1007"/>
    <w:uiPriority w:val="0"/>
    <w:semiHidden/>
    <w:qFormat/>
    <w:pPr>
      <w:ind w:left="1400"/>
    </w:pPr>
  </w:style>
  <w:style w:type="paragraph" w:styleId="1021">
    <w:name w:val="Normal Indent"/>
    <w:basedOn w:val="1007"/>
    <w:link w:val="1090"/>
    <w:uiPriority w:val="0"/>
    <w:qFormat/>
    <w:pPr>
      <w:ind w:firstLine="420"/>
    </w:pPr>
  </w:style>
  <w:style w:type="paragraph" w:styleId="1022">
    <w:name w:val="Caption"/>
    <w:basedOn w:val="1007"/>
    <w:next w:val="1007"/>
    <w:uiPriority w:val="35"/>
    <w:qFormat/>
    <w:pPr>
      <w:spacing w:after="160" w:line="252" w:lineRule="auto"/>
      <w:widowControl/>
    </w:pPr>
    <w:rPr>
      <w:b/>
      <w:bCs/>
      <w:sz w:val="18"/>
      <w:szCs w:val="18"/>
    </w:rPr>
  </w:style>
  <w:style w:type="paragraph" w:styleId="1023">
    <w:name w:val="index 5"/>
    <w:basedOn w:val="1007"/>
    <w:next w:val="1007"/>
    <w:uiPriority w:val="0"/>
    <w:semiHidden/>
    <w:qFormat/>
    <w:pPr>
      <w:ind w:left="800"/>
    </w:pPr>
  </w:style>
  <w:style w:type="paragraph" w:styleId="1024">
    <w:name w:val="Document Map"/>
    <w:basedOn w:val="1007"/>
    <w:link w:val="1091"/>
    <w:uiPriority w:val="0"/>
    <w:semiHidden/>
    <w:qFormat/>
    <w:pPr>
      <w:shd w:val="clear" w:color="auto" w:fill="000080"/>
    </w:pPr>
  </w:style>
  <w:style w:type="paragraph" w:styleId="1025">
    <w:name w:val="annotation text"/>
    <w:basedOn w:val="1007"/>
    <w:link w:val="1092"/>
    <w:uiPriority w:val="0"/>
    <w:qFormat/>
    <w:pPr>
      <w:jc w:val="left"/>
    </w:pPr>
  </w:style>
  <w:style w:type="paragraph" w:styleId="1026">
    <w:name w:val="index 6"/>
    <w:basedOn w:val="1007"/>
    <w:next w:val="1007"/>
    <w:uiPriority w:val="0"/>
    <w:semiHidden/>
    <w:qFormat/>
    <w:pPr>
      <w:ind w:left="1000"/>
    </w:pPr>
  </w:style>
  <w:style w:type="paragraph" w:styleId="1027">
    <w:name w:val="Body Text"/>
    <w:basedOn w:val="1007"/>
    <w:next w:val="1028"/>
    <w:link w:val="1093"/>
    <w:uiPriority w:val="99"/>
    <w:qFormat/>
    <w:rPr>
      <w:rFonts w:ascii="楷体_GB2312" w:hAnsi="Arial" w:eastAsia="楷体_GB2312"/>
      <w:sz w:val="28"/>
    </w:rPr>
  </w:style>
  <w:style w:type="paragraph" w:styleId="1028">
    <w:name w:val="Body Text First Indent"/>
    <w:basedOn w:val="1027"/>
    <w:next w:val="1029"/>
    <w:link w:val="1162"/>
    <w:uiPriority w:val="99"/>
    <w:unhideWhenUsed/>
    <w:qFormat/>
    <w:pPr>
      <w:ind w:firstLine="420"/>
      <w:spacing w:after="120"/>
    </w:pPr>
    <w:rPr>
      <w:rFonts w:ascii="Calibri" w:hAnsi="Calibri" w:eastAsia="宋体"/>
      <w:sz w:val="21"/>
    </w:rPr>
  </w:style>
  <w:style w:type="paragraph" w:styleId="1029">
    <w:name w:val="Body Text First Indent 2"/>
    <w:basedOn w:val="1030"/>
    <w:next w:val="1028"/>
    <w:uiPriority w:val="99"/>
    <w:unhideWhenUsed/>
    <w:qFormat/>
    <w:pPr>
      <w:ind w:left="420" w:firstLine="420"/>
      <w:spacing w:after="120"/>
    </w:pPr>
    <w:rPr>
      <w:rFonts w:ascii="Calibri"/>
      <w:sz w:val="21"/>
    </w:rPr>
  </w:style>
  <w:style w:type="paragraph" w:styleId="1030">
    <w:name w:val="Body Text Indent"/>
    <w:basedOn w:val="1007"/>
    <w:next w:val="1031"/>
    <w:link w:val="1094"/>
    <w:uiPriority w:val="0"/>
    <w:qFormat/>
    <w:pPr>
      <w:ind w:firstLine="574"/>
      <w:spacing w:line="312" w:lineRule="atLeast"/>
    </w:pPr>
    <w:rPr>
      <w:rFonts w:ascii="宋体"/>
      <w:sz w:val="28"/>
    </w:rPr>
  </w:style>
  <w:style w:type="paragraph" w:styleId="1031">
    <w:name w:val="envelope return"/>
    <w:basedOn w:val="1007"/>
    <w:uiPriority w:val="99"/>
    <w:unhideWhenUsed/>
    <w:qFormat/>
    <w:rPr>
      <w:rFonts w:ascii="Arial" w:hAnsi="Arial"/>
    </w:rPr>
  </w:style>
  <w:style w:type="paragraph" w:styleId="1032">
    <w:name w:val="Block Text"/>
    <w:basedOn w:val="1007"/>
    <w:uiPriority w:val="0"/>
    <w:qFormat/>
    <w:pPr>
      <w:ind w:left="1890" w:right="11" w:hanging="1409"/>
      <w:spacing w:before="89"/>
      <w:tabs>
        <w:tab w:val="left" w:pos="822" w:leader="none"/>
        <w:tab w:val="left" w:pos="2205" w:leader="none"/>
        <w:tab w:val="left" w:pos="9000" w:leader="none"/>
      </w:tabs>
    </w:pPr>
    <w:rPr>
      <w:sz w:val="24"/>
    </w:rPr>
  </w:style>
  <w:style w:type="paragraph" w:styleId="1033">
    <w:name w:val="index 4"/>
    <w:basedOn w:val="1007"/>
    <w:next w:val="1007"/>
    <w:uiPriority w:val="0"/>
    <w:semiHidden/>
    <w:qFormat/>
    <w:pPr>
      <w:ind w:left="600"/>
    </w:pPr>
  </w:style>
  <w:style w:type="paragraph" w:styleId="1034">
    <w:name w:val="toc 5"/>
    <w:basedOn w:val="1007"/>
    <w:next w:val="1007"/>
    <w:uiPriority w:val="0"/>
    <w:semiHidden/>
    <w:qFormat/>
    <w:pPr>
      <w:ind w:left="840"/>
      <w:jc w:val="left"/>
    </w:pPr>
    <w:rPr>
      <w:szCs w:val="21"/>
    </w:rPr>
  </w:style>
  <w:style w:type="paragraph" w:styleId="1035">
    <w:name w:val="toc 3"/>
    <w:basedOn w:val="1007"/>
    <w:next w:val="1007"/>
    <w:uiPriority w:val="0"/>
    <w:semiHidden/>
    <w:qFormat/>
    <w:pPr>
      <w:ind w:left="420"/>
      <w:jc w:val="left"/>
    </w:pPr>
    <w:rPr>
      <w:i/>
      <w:iCs/>
      <w:szCs w:val="24"/>
    </w:rPr>
  </w:style>
  <w:style w:type="paragraph" w:styleId="1036">
    <w:name w:val="Plain Text"/>
    <w:basedOn w:val="1007"/>
    <w:link w:val="1095"/>
    <w:uiPriority w:val="0"/>
    <w:qFormat/>
    <w:rPr>
      <w:rFonts w:ascii="宋体" w:hAnsi="Courier New"/>
    </w:rPr>
  </w:style>
  <w:style w:type="paragraph" w:styleId="1037">
    <w:name w:val="toc 8"/>
    <w:basedOn w:val="1007"/>
    <w:next w:val="1007"/>
    <w:uiPriority w:val="0"/>
    <w:semiHidden/>
    <w:qFormat/>
    <w:pPr>
      <w:ind w:left="1470"/>
      <w:jc w:val="left"/>
    </w:pPr>
    <w:rPr>
      <w:szCs w:val="21"/>
    </w:rPr>
  </w:style>
  <w:style w:type="paragraph" w:styleId="1038">
    <w:name w:val="index 3"/>
    <w:basedOn w:val="1007"/>
    <w:next w:val="1007"/>
    <w:uiPriority w:val="0"/>
    <w:semiHidden/>
    <w:qFormat/>
    <w:pPr>
      <w:ind w:left="400"/>
    </w:pPr>
  </w:style>
  <w:style w:type="paragraph" w:styleId="1039">
    <w:name w:val="Date"/>
    <w:basedOn w:val="1007"/>
    <w:next w:val="1007"/>
    <w:link w:val="1096"/>
    <w:uiPriority w:val="0"/>
    <w:qFormat/>
    <w:pPr>
      <w:spacing w:line="312" w:lineRule="atLeast"/>
    </w:pPr>
    <w:rPr>
      <w:rFonts w:ascii="宋体"/>
      <w:sz w:val="28"/>
    </w:rPr>
  </w:style>
  <w:style w:type="paragraph" w:styleId="1040">
    <w:name w:val="Body Text Indent 2"/>
    <w:basedOn w:val="1007"/>
    <w:link w:val="1097"/>
    <w:uiPriority w:val="0"/>
    <w:qFormat/>
    <w:pPr>
      <w:ind w:left="1890" w:hanging="1409"/>
      <w:tabs>
        <w:tab w:val="left" w:pos="1785" w:leader="none"/>
        <w:tab w:val="left" w:pos="1887" w:leader="none"/>
        <w:tab w:val="left" w:pos="2112" w:leader="none"/>
        <w:tab w:val="left" w:pos="9000" w:leader="none"/>
      </w:tabs>
    </w:pPr>
    <w:rPr>
      <w:sz w:val="24"/>
    </w:rPr>
  </w:style>
  <w:style w:type="paragraph" w:styleId="1041">
    <w:name w:val="Balloon Text"/>
    <w:basedOn w:val="1007"/>
    <w:link w:val="1098"/>
    <w:uiPriority w:val="0"/>
    <w:qFormat/>
    <w:rPr>
      <w:sz w:val="18"/>
      <w:szCs w:val="18"/>
    </w:rPr>
  </w:style>
  <w:style w:type="paragraph" w:styleId="1042">
    <w:name w:val="Footer"/>
    <w:basedOn w:val="1007"/>
    <w:link w:val="1099"/>
    <w:uiPriority w:val="0"/>
    <w:qFormat/>
    <w:pPr>
      <w:jc w:val="left"/>
      <w:tabs>
        <w:tab w:val="center" w:pos="4153" w:leader="none"/>
        <w:tab w:val="right" w:pos="8306" w:leader="none"/>
      </w:tabs>
    </w:pPr>
    <w:rPr>
      <w:sz w:val="18"/>
    </w:rPr>
  </w:style>
  <w:style w:type="paragraph" w:styleId="1043">
    <w:name w:val="Header"/>
    <w:basedOn w:val="1007"/>
    <w:link w:val="1100"/>
    <w:uiPriority w:val="99"/>
    <w:qFormat/>
    <w:pPr>
      <w:jc w:val="center"/>
      <w:tabs>
        <w:tab w:val="center" w:pos="4153" w:leader="none"/>
        <w:tab w:val="right" w:pos="8306" w:leader="none"/>
      </w:tabs>
      <w:pBdr>
        <w:bottom w:val="single" w:color="auto" w:sz="6" w:space="1"/>
      </w:pBdr>
    </w:pPr>
    <w:rPr>
      <w:sz w:val="18"/>
    </w:rPr>
  </w:style>
  <w:style w:type="paragraph" w:styleId="1044">
    <w:name w:val="Signature"/>
    <w:basedOn w:val="1007"/>
    <w:link w:val="1101"/>
    <w:uiPriority w:val="0"/>
    <w:qFormat/>
    <w:pPr>
      <w:jc w:val="center"/>
      <w:spacing w:after="600" w:line="312" w:lineRule="atLeast"/>
    </w:pPr>
    <w:rPr>
      <w:rFonts w:eastAsia="仿宋_GB2312"/>
      <w:sz w:val="24"/>
    </w:rPr>
  </w:style>
  <w:style w:type="paragraph" w:styleId="1045">
    <w:name w:val="toc 1"/>
    <w:basedOn w:val="1007"/>
    <w:next w:val="1007"/>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46">
    <w:name w:val="toc 4"/>
    <w:basedOn w:val="1007"/>
    <w:next w:val="1007"/>
    <w:uiPriority w:val="0"/>
    <w:semiHidden/>
    <w:qFormat/>
    <w:pPr>
      <w:ind w:left="630"/>
      <w:jc w:val="left"/>
    </w:pPr>
    <w:rPr>
      <w:szCs w:val="21"/>
    </w:rPr>
  </w:style>
  <w:style w:type="paragraph" w:styleId="1047">
    <w:name w:val="index heading"/>
    <w:basedOn w:val="1007"/>
    <w:next w:val="1048"/>
    <w:uiPriority w:val="0"/>
    <w:semiHidden/>
    <w:qFormat/>
  </w:style>
  <w:style w:type="paragraph" w:styleId="1048">
    <w:name w:val="index 1"/>
    <w:basedOn w:val="1007"/>
    <w:next w:val="1007"/>
    <w:uiPriority w:val="0"/>
    <w:semiHidden/>
    <w:qFormat/>
  </w:style>
  <w:style w:type="paragraph" w:styleId="1049">
    <w:name w:val="Subtitle"/>
    <w:basedOn w:val="1007"/>
    <w:next w:val="1007"/>
    <w:link w:val="1102"/>
    <w:uiPriority w:val="11"/>
    <w:qFormat/>
    <w:pPr>
      <w:jc w:val="center"/>
      <w:spacing w:after="240" w:line="252" w:lineRule="auto"/>
      <w:widowControl/>
    </w:pPr>
    <w:rPr>
      <w:rFonts w:ascii="Calibri Light" w:hAnsi="Calibri Light"/>
      <w:sz w:val="24"/>
      <w:szCs w:val="24"/>
    </w:rPr>
  </w:style>
  <w:style w:type="paragraph" w:styleId="1050">
    <w:name w:val="toc 6"/>
    <w:basedOn w:val="1007"/>
    <w:next w:val="1007"/>
    <w:uiPriority w:val="0"/>
    <w:semiHidden/>
    <w:qFormat/>
    <w:pPr>
      <w:ind w:left="1050"/>
      <w:jc w:val="left"/>
    </w:pPr>
    <w:rPr>
      <w:szCs w:val="21"/>
    </w:rPr>
  </w:style>
  <w:style w:type="paragraph" w:styleId="1051">
    <w:name w:val="Body Text Indent 3"/>
    <w:basedOn w:val="1007"/>
    <w:link w:val="1103"/>
    <w:uiPriority w:val="0"/>
    <w:qFormat/>
    <w:pPr>
      <w:ind w:firstLine="555"/>
    </w:pPr>
    <w:rPr>
      <w:b/>
      <w:bCs/>
      <w:sz w:val="28"/>
      <w:u w:val="single"/>
    </w:rPr>
  </w:style>
  <w:style w:type="paragraph" w:styleId="1052">
    <w:name w:val="index 7"/>
    <w:basedOn w:val="1007"/>
    <w:next w:val="1007"/>
    <w:uiPriority w:val="0"/>
    <w:semiHidden/>
    <w:qFormat/>
    <w:pPr>
      <w:ind w:left="1200"/>
    </w:pPr>
  </w:style>
  <w:style w:type="paragraph" w:styleId="1053">
    <w:name w:val="index 9"/>
    <w:basedOn w:val="1007"/>
    <w:next w:val="1007"/>
    <w:uiPriority w:val="0"/>
    <w:semiHidden/>
    <w:qFormat/>
    <w:pPr>
      <w:ind w:left="1600"/>
    </w:pPr>
  </w:style>
  <w:style w:type="paragraph" w:styleId="1054">
    <w:name w:val="table of figures"/>
    <w:basedOn w:val="1007"/>
    <w:next w:val="1007"/>
    <w:uiPriority w:val="0"/>
    <w:semiHidden/>
    <w:qFormat/>
    <w:pPr>
      <w:ind w:left="840" w:hanging="420"/>
    </w:pPr>
  </w:style>
  <w:style w:type="paragraph" w:styleId="1055">
    <w:name w:val="toc 2"/>
    <w:basedOn w:val="1007"/>
    <w:next w:val="1007"/>
    <w:uiPriority w:val="39"/>
    <w:qFormat/>
    <w:pPr>
      <w:ind w:left="250"/>
      <w:jc w:val="left"/>
      <w:spacing w:line="400" w:lineRule="exact"/>
      <w:tabs>
        <w:tab w:val="right" w:pos="9450" w:leader="dot"/>
      </w:tabs>
    </w:pPr>
    <w:rPr>
      <w:bCs/>
      <w:smallCaps/>
      <w:sz w:val="24"/>
      <w:szCs w:val="24"/>
    </w:rPr>
  </w:style>
  <w:style w:type="paragraph" w:styleId="1056">
    <w:name w:val="toc 9"/>
    <w:basedOn w:val="1007"/>
    <w:next w:val="1007"/>
    <w:uiPriority w:val="0"/>
    <w:semiHidden/>
    <w:qFormat/>
    <w:pPr>
      <w:ind w:left="1680"/>
      <w:jc w:val="left"/>
    </w:pPr>
    <w:rPr>
      <w:szCs w:val="21"/>
    </w:rPr>
  </w:style>
  <w:style w:type="paragraph" w:styleId="1057">
    <w:name w:val="HTML Preformatted"/>
    <w:basedOn w:val="1007"/>
    <w:link w:val="11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1058">
    <w:name w:val="Normal (Web)"/>
    <w:basedOn w:val="1007"/>
    <w:uiPriority w:val="99"/>
    <w:qFormat/>
    <w:pPr>
      <w:jc w:val="left"/>
      <w:spacing w:before="100" w:beforeAutospacing="1" w:after="100" w:afterAutospacing="1"/>
      <w:widowControl/>
    </w:pPr>
    <w:rPr>
      <w:rFonts w:ascii="宋体" w:hAnsi="宋体" w:cs="宋体"/>
      <w:sz w:val="24"/>
      <w:szCs w:val="24"/>
    </w:rPr>
  </w:style>
  <w:style w:type="paragraph" w:styleId="1059">
    <w:name w:val="index 2"/>
    <w:basedOn w:val="1007"/>
    <w:next w:val="1007"/>
    <w:uiPriority w:val="0"/>
    <w:semiHidden/>
    <w:qFormat/>
    <w:pPr>
      <w:ind w:left="200"/>
    </w:pPr>
  </w:style>
  <w:style w:type="paragraph" w:styleId="1060">
    <w:name w:val="Title"/>
    <w:basedOn w:val="1007"/>
    <w:next w:val="1007"/>
    <w:link w:val="1105"/>
    <w:uiPriority w:val="10"/>
    <w:qFormat/>
    <w:pPr>
      <w:contextualSpacing/>
      <w:jc w:val="center"/>
      <w:widowControl/>
    </w:pPr>
    <w:rPr>
      <w:rFonts w:ascii="Calibri Light" w:hAnsi="Calibri Light"/>
      <w:b/>
      <w:bCs/>
      <w:spacing w:val="-7"/>
      <w:sz w:val="48"/>
      <w:szCs w:val="48"/>
    </w:rPr>
  </w:style>
  <w:style w:type="paragraph" w:styleId="1061">
    <w:name w:val="annotation subject"/>
    <w:basedOn w:val="1025"/>
    <w:next w:val="1025"/>
    <w:link w:val="1106"/>
    <w:uiPriority w:val="0"/>
    <w:qFormat/>
    <w:rPr>
      <w:b/>
      <w:bCs/>
    </w:rPr>
  </w:style>
  <w:style w:type="table" w:styleId="1062">
    <w:name w:val="Table Grid"/>
    <w:basedOn w:val="10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3">
    <w:name w:val="Strong"/>
    <w:uiPriority w:val="22"/>
    <w:qFormat/>
    <w:rPr>
      <w:b/>
      <w:bCs/>
    </w:rPr>
  </w:style>
  <w:style w:type="character" w:styleId="1064">
    <w:name w:val="page number"/>
    <w:uiPriority w:val="0"/>
    <w:qFormat/>
  </w:style>
  <w:style w:type="character" w:styleId="1065">
    <w:name w:val="FollowedHyperlink"/>
    <w:uiPriority w:val="0"/>
    <w:qFormat/>
    <w:rPr>
      <w:color w:val="800080"/>
      <w:u w:val="single"/>
    </w:rPr>
  </w:style>
  <w:style w:type="character" w:styleId="1066">
    <w:name w:val="Emphasis"/>
    <w:uiPriority w:val="20"/>
    <w:qFormat/>
    <w:rPr>
      <w:i/>
      <w:iCs/>
    </w:rPr>
  </w:style>
  <w:style w:type="character" w:styleId="1067">
    <w:name w:val="line number"/>
    <w:uiPriority w:val="0"/>
    <w:qFormat/>
  </w:style>
  <w:style w:type="character" w:styleId="1068">
    <w:name w:val="HTML Definition"/>
    <w:basedOn w:val="1017"/>
    <w:uiPriority w:val="0"/>
    <w:semiHidden/>
    <w:unhideWhenUsed/>
    <w:qFormat/>
  </w:style>
  <w:style w:type="character" w:styleId="1069">
    <w:name w:val="HTML Typewriter"/>
    <w:basedOn w:val="1017"/>
    <w:uiPriority w:val="0"/>
    <w:semiHidden/>
    <w:unhideWhenUsed/>
    <w:qFormat/>
    <w:rPr>
      <w:rFonts w:hint="default" w:ascii="monospace" w:hAnsi="monospace" w:eastAsia="monospace" w:cs="monospace"/>
      <w:sz w:val="20"/>
    </w:rPr>
  </w:style>
  <w:style w:type="character" w:styleId="1070">
    <w:name w:val="HTML Acronym"/>
    <w:basedOn w:val="1017"/>
    <w:uiPriority w:val="0"/>
    <w:semiHidden/>
    <w:unhideWhenUsed/>
    <w:qFormat/>
  </w:style>
  <w:style w:type="character" w:styleId="1071">
    <w:name w:val="HTML Variable"/>
    <w:basedOn w:val="1017"/>
    <w:uiPriority w:val="0"/>
    <w:semiHidden/>
    <w:unhideWhenUsed/>
    <w:qFormat/>
  </w:style>
  <w:style w:type="character" w:styleId="1072">
    <w:name w:val="Hyperlink"/>
    <w:uiPriority w:val="99"/>
    <w:qFormat/>
    <w:rPr>
      <w:color w:val="0000ff"/>
      <w:u w:val="single"/>
    </w:rPr>
  </w:style>
  <w:style w:type="character" w:styleId="1073">
    <w:name w:val="HTML Code"/>
    <w:basedOn w:val="1017"/>
    <w:uiPriority w:val="0"/>
    <w:semiHidden/>
    <w:unhideWhenUsed/>
    <w:qFormat/>
    <w:rPr>
      <w:rFonts w:hint="default" w:ascii="monospace" w:hAnsi="monospace" w:eastAsia="monospace" w:cs="monospace"/>
      <w:sz w:val="20"/>
    </w:rPr>
  </w:style>
  <w:style w:type="character" w:styleId="1074">
    <w:name w:val="annotation reference"/>
    <w:uiPriority w:val="0"/>
    <w:qFormat/>
    <w:rPr>
      <w:sz w:val="21"/>
      <w:szCs w:val="21"/>
    </w:rPr>
  </w:style>
  <w:style w:type="character" w:styleId="1075">
    <w:name w:val="HTML Cite"/>
    <w:basedOn w:val="1017"/>
    <w:uiPriority w:val="0"/>
    <w:semiHidden/>
    <w:unhideWhenUsed/>
    <w:qFormat/>
  </w:style>
  <w:style w:type="character" w:styleId="1076">
    <w:name w:val="HTML Keyboard"/>
    <w:basedOn w:val="1017"/>
    <w:uiPriority w:val="0"/>
    <w:semiHidden/>
    <w:unhideWhenUsed/>
    <w:qFormat/>
    <w:rPr>
      <w:rFonts w:hint="default" w:ascii="monospace" w:hAnsi="monospace" w:eastAsia="monospace" w:cs="monospace"/>
      <w:sz w:val="20"/>
    </w:rPr>
  </w:style>
  <w:style w:type="character" w:styleId="1077">
    <w:name w:val="HTML Sample"/>
    <w:basedOn w:val="1017"/>
    <w:uiPriority w:val="0"/>
    <w:semiHidden/>
    <w:unhideWhenUsed/>
    <w:qFormat/>
    <w:rPr>
      <w:rFonts w:ascii="monospace" w:hAnsi="monospace" w:eastAsia="monospace" w:cs="monospace"/>
    </w:rPr>
  </w:style>
  <w:style w:type="paragraph" w:styleId="1078" w:customStyle="1">
    <w:name w:val="表格内容"/>
    <w:basedOn w:val="1007"/>
    <w:uiPriority w:val="0"/>
    <w:qFormat/>
    <w:pPr>
      <w:jc w:val="center"/>
      <w:widowControl/>
    </w:pPr>
    <w:rPr>
      <w:rFonts w:ascii="Times New Roman" w:hAnsi="Times New Roman"/>
      <w:szCs w:val="22"/>
    </w:rPr>
  </w:style>
  <w:style w:type="paragraph" w:styleId="1079" w:customStyle="1">
    <w:name w:val="段"/>
    <w:next w:val="1007"/>
    <w:uiPriority w:val="0"/>
    <w:qFormat/>
    <w:pPr>
      <w:ind w:firstLine="200"/>
      <w:jc w:val="both"/>
    </w:pPr>
    <w:rPr>
      <w:rFonts w:ascii="宋体" w:hAnsi="Times New Roman" w:eastAsia="宋体" w:cs="Times New Roman"/>
      <w:sz w:val="21"/>
      <w:szCs w:val="22"/>
      <w:lang w:val="en-US" w:eastAsia="zh-CN" w:bidi="ar-SA"/>
    </w:rPr>
  </w:style>
  <w:style w:type="paragraph" w:styleId="1080" w:customStyle="1">
    <w:name w:val="首行缩进"/>
    <w:basedOn w:val="1007"/>
    <w:uiPriority w:val="0"/>
    <w:qFormat/>
    <w:pPr>
      <w:ind w:firstLine="480"/>
    </w:pPr>
    <w:rPr>
      <w:lang w:val="zh-CN"/>
    </w:rPr>
  </w:style>
  <w:style w:type="character" w:styleId="1081" w:customStyle="1">
    <w:name w:val="标题 1 字符"/>
    <w:link w:val="1008"/>
    <w:uiPriority w:val="0"/>
    <w:qFormat/>
    <w:rPr>
      <w:rFonts w:ascii="宋体" w:hAnsi="宋体"/>
      <w:b/>
      <w:sz w:val="36"/>
    </w:rPr>
  </w:style>
  <w:style w:type="character" w:styleId="1082" w:customStyle="1">
    <w:name w:val="标题 2 字符"/>
    <w:link w:val="1009"/>
    <w:uiPriority w:val="0"/>
    <w:qFormat/>
    <w:rPr>
      <w:rFonts w:eastAsia="楷体_GB2312"/>
      <w:b/>
      <w:bCs/>
      <w:sz w:val="28"/>
      <w:szCs w:val="28"/>
    </w:rPr>
  </w:style>
  <w:style w:type="character" w:styleId="1083" w:customStyle="1">
    <w:name w:val="标题 3 字符"/>
    <w:link w:val="1010"/>
    <w:uiPriority w:val="9"/>
    <w:qFormat/>
    <w:rPr>
      <w:rFonts w:ascii="宋体" w:hAnsi="宋体"/>
      <w:sz w:val="28"/>
    </w:rPr>
  </w:style>
  <w:style w:type="character" w:styleId="1084" w:customStyle="1">
    <w:name w:val="标题 4 字符"/>
    <w:link w:val="1011"/>
    <w:uiPriority w:val="9"/>
    <w:qFormat/>
    <w:rPr>
      <w:b/>
      <w:bCs/>
      <w:sz w:val="18"/>
    </w:rPr>
  </w:style>
  <w:style w:type="character" w:styleId="1085" w:customStyle="1">
    <w:name w:val="标题 5 字符"/>
    <w:link w:val="1012"/>
    <w:uiPriority w:val="9"/>
    <w:qFormat/>
    <w:rPr>
      <w:b/>
      <w:bCs/>
      <w:sz w:val="18"/>
    </w:rPr>
  </w:style>
  <w:style w:type="character" w:styleId="1086" w:customStyle="1">
    <w:name w:val="标题 6 字符"/>
    <w:link w:val="1013"/>
    <w:uiPriority w:val="9"/>
    <w:qFormat/>
    <w:rPr>
      <w:rFonts w:ascii="Calibri Light" w:hAnsi="Calibri Light"/>
      <w:b/>
      <w:bCs/>
      <w:i/>
      <w:iCs/>
    </w:rPr>
  </w:style>
  <w:style w:type="character" w:styleId="1087" w:customStyle="1">
    <w:name w:val="标题 7 字符"/>
    <w:link w:val="1014"/>
    <w:uiPriority w:val="9"/>
    <w:qFormat/>
    <w:rPr>
      <w:i/>
      <w:iCs/>
    </w:rPr>
  </w:style>
  <w:style w:type="character" w:styleId="1088" w:customStyle="1">
    <w:name w:val="标题 8 字符"/>
    <w:link w:val="1015"/>
    <w:uiPriority w:val="9"/>
    <w:qFormat/>
    <w:rPr>
      <w:b/>
      <w:bCs/>
    </w:rPr>
  </w:style>
  <w:style w:type="character" w:styleId="1089" w:customStyle="1">
    <w:name w:val="标题 9 字符"/>
    <w:link w:val="1016"/>
    <w:uiPriority w:val="9"/>
    <w:qFormat/>
    <w:rPr>
      <w:i/>
      <w:iCs/>
    </w:rPr>
  </w:style>
  <w:style w:type="character" w:styleId="1090" w:customStyle="1">
    <w:name w:val="正文缩进 字符"/>
    <w:link w:val="1021"/>
    <w:uiPriority w:val="0"/>
    <w:qFormat/>
    <w:rPr>
      <w:sz w:val="21"/>
    </w:rPr>
  </w:style>
  <w:style w:type="character" w:styleId="1091" w:customStyle="1">
    <w:name w:val="文档结构图 字符"/>
    <w:link w:val="1024"/>
    <w:uiPriority w:val="0"/>
    <w:semiHidden/>
    <w:qFormat/>
    <w:rPr>
      <w:sz w:val="21"/>
      <w:shd w:val="clear" w:color="auto" w:fill="000080"/>
    </w:rPr>
  </w:style>
  <w:style w:type="character" w:styleId="1092" w:customStyle="1">
    <w:name w:val="批注文字 字符"/>
    <w:link w:val="1025"/>
    <w:uiPriority w:val="0"/>
    <w:qFormat/>
    <w:rPr>
      <w:sz w:val="21"/>
    </w:rPr>
  </w:style>
  <w:style w:type="character" w:styleId="1093" w:customStyle="1">
    <w:name w:val="正文文本 字符1"/>
    <w:link w:val="1027"/>
    <w:uiPriority w:val="0"/>
    <w:qFormat/>
    <w:rPr>
      <w:rFonts w:ascii="楷体_GB2312" w:hAnsi="Arial" w:eastAsia="楷体_GB2312"/>
      <w:sz w:val="28"/>
    </w:rPr>
  </w:style>
  <w:style w:type="character" w:styleId="1094" w:customStyle="1">
    <w:name w:val="正文文本缩进 字符"/>
    <w:link w:val="1030"/>
    <w:uiPriority w:val="0"/>
    <w:qFormat/>
    <w:rPr>
      <w:rFonts w:ascii="宋体"/>
      <w:sz w:val="28"/>
    </w:rPr>
  </w:style>
  <w:style w:type="character" w:styleId="1095" w:customStyle="1">
    <w:name w:val="纯文本 字符"/>
    <w:link w:val="1036"/>
    <w:uiPriority w:val="0"/>
    <w:qFormat/>
    <w:rPr>
      <w:rFonts w:ascii="宋体" w:hAnsi="Courier New"/>
      <w:sz w:val="21"/>
    </w:rPr>
  </w:style>
  <w:style w:type="character" w:styleId="1096" w:customStyle="1">
    <w:name w:val="日期 字符"/>
    <w:link w:val="1039"/>
    <w:uiPriority w:val="0"/>
    <w:qFormat/>
    <w:rPr>
      <w:rFonts w:ascii="宋体"/>
      <w:sz w:val="28"/>
    </w:rPr>
  </w:style>
  <w:style w:type="character" w:styleId="1097" w:customStyle="1">
    <w:name w:val="正文文本缩进 2 字符"/>
    <w:link w:val="1040"/>
    <w:uiPriority w:val="0"/>
    <w:qFormat/>
    <w:rPr>
      <w:sz w:val="24"/>
    </w:rPr>
  </w:style>
  <w:style w:type="character" w:styleId="1098" w:customStyle="1">
    <w:name w:val="批注框文本 字符"/>
    <w:link w:val="1041"/>
    <w:uiPriority w:val="0"/>
    <w:qFormat/>
    <w:rPr>
      <w:sz w:val="18"/>
      <w:szCs w:val="18"/>
    </w:rPr>
  </w:style>
  <w:style w:type="character" w:styleId="1099" w:customStyle="1">
    <w:name w:val="页脚 字符"/>
    <w:link w:val="1042"/>
    <w:uiPriority w:val="0"/>
    <w:qFormat/>
    <w:rPr>
      <w:sz w:val="18"/>
    </w:rPr>
  </w:style>
  <w:style w:type="character" w:styleId="1100" w:customStyle="1">
    <w:name w:val="页眉 字符"/>
    <w:link w:val="1043"/>
    <w:uiPriority w:val="99"/>
    <w:qFormat/>
    <w:rPr>
      <w:sz w:val="18"/>
    </w:rPr>
  </w:style>
  <w:style w:type="character" w:styleId="1101" w:customStyle="1">
    <w:name w:val="签名 字符1"/>
    <w:link w:val="1044"/>
    <w:uiPriority w:val="0"/>
    <w:qFormat/>
    <w:rPr>
      <w:rFonts w:eastAsia="仿宋_GB2312"/>
      <w:sz w:val="24"/>
    </w:rPr>
  </w:style>
  <w:style w:type="character" w:styleId="1102" w:customStyle="1">
    <w:name w:val="副标题 字符"/>
    <w:link w:val="1049"/>
    <w:uiPriority w:val="11"/>
    <w:qFormat/>
    <w:rPr>
      <w:rFonts w:ascii="Calibri Light" w:hAnsi="Calibri Light"/>
      <w:sz w:val="24"/>
      <w:szCs w:val="24"/>
    </w:rPr>
  </w:style>
  <w:style w:type="character" w:styleId="1103" w:customStyle="1">
    <w:name w:val="正文文本缩进 3 字符"/>
    <w:link w:val="1051"/>
    <w:uiPriority w:val="0"/>
    <w:qFormat/>
    <w:rPr>
      <w:b/>
      <w:bCs/>
      <w:sz w:val="28"/>
      <w:u w:val="single"/>
    </w:rPr>
  </w:style>
  <w:style w:type="character" w:styleId="1104" w:customStyle="1">
    <w:name w:val="HTML 预设格式 字符"/>
    <w:link w:val="1057"/>
    <w:uiPriority w:val="0"/>
    <w:qFormat/>
    <w:rPr>
      <w:rFonts w:ascii="Arial" w:hAnsi="Arial" w:cs="Arial"/>
      <w:sz w:val="24"/>
      <w:szCs w:val="24"/>
    </w:rPr>
  </w:style>
  <w:style w:type="character" w:styleId="1105" w:customStyle="1">
    <w:name w:val="标题 字符"/>
    <w:link w:val="1060"/>
    <w:uiPriority w:val="10"/>
    <w:qFormat/>
    <w:rPr>
      <w:rFonts w:ascii="Calibri Light" w:hAnsi="Calibri Light"/>
      <w:b/>
      <w:bCs/>
      <w:spacing w:val="-7"/>
      <w:sz w:val="48"/>
      <w:szCs w:val="48"/>
    </w:rPr>
  </w:style>
  <w:style w:type="character" w:styleId="1106" w:customStyle="1">
    <w:name w:val="批注主题 字符"/>
    <w:link w:val="1061"/>
    <w:uiPriority w:val="0"/>
    <w:qFormat/>
    <w:rPr>
      <w:b/>
      <w:bCs/>
      <w:sz w:val="21"/>
    </w:rPr>
  </w:style>
  <w:style w:type="character" w:styleId="1107" w:customStyle="1">
    <w:name w:val="引用 Char1"/>
    <w:uiPriority w:val="29"/>
    <w:qFormat/>
    <w:rPr>
      <w:i/>
      <w:iCs/>
      <w:color w:val="404040"/>
      <w:sz w:val="21"/>
    </w:rPr>
  </w:style>
  <w:style w:type="character" w:styleId="1108" w:customStyle="1">
    <w:name w:val="副标题 Char1"/>
    <w:uiPriority w:val="11"/>
    <w:qFormat/>
    <w:rPr>
      <w:rFonts w:ascii="Calibri Light" w:hAnsi="Calibri Light" w:cs="Times New Roman"/>
      <w:b/>
      <w:bCs/>
      <w:sz w:val="32"/>
      <w:szCs w:val="32"/>
    </w:rPr>
  </w:style>
  <w:style w:type="character" w:styleId="1109" w:customStyle="1">
    <w:name w:val="纯文本 Char1"/>
    <w:link w:val="1110"/>
    <w:uiPriority w:val="0"/>
    <w:qFormat/>
    <w:rPr>
      <w:rFonts w:ascii="宋体" w:hAnsi="Courier New"/>
    </w:rPr>
  </w:style>
  <w:style w:type="paragraph" w:styleId="1110" w:customStyle="1">
    <w:name w:val="纯文本1"/>
    <w:basedOn w:val="1007"/>
    <w:link w:val="1109"/>
    <w:uiPriority w:val="0"/>
    <w:qFormat/>
    <w:rPr>
      <w:rFonts w:ascii="宋体" w:hAnsi="Courier New"/>
      <w:sz w:val="20"/>
    </w:rPr>
  </w:style>
  <w:style w:type="character" w:styleId="1111" w:customStyle="1">
    <w:name w:val="标题 1 Char1"/>
    <w:uiPriority w:val="9"/>
    <w:qFormat/>
    <w:rPr>
      <w:rFonts w:ascii="Calibri Light" w:hAnsi="Calibri Light"/>
      <w:b/>
      <w:bCs/>
      <w:caps/>
      <w:spacing w:val="4"/>
      <w:sz w:val="28"/>
      <w:szCs w:val="28"/>
    </w:rPr>
  </w:style>
  <w:style w:type="character" w:styleId="1112" w:customStyle="1">
    <w:name w:val="明显引用 字符"/>
    <w:link w:val="1113"/>
    <w:uiPriority w:val="30"/>
    <w:qFormat/>
    <w:rPr>
      <w:rFonts w:ascii="Calibri Light" w:hAnsi="Calibri Light"/>
      <w:sz w:val="26"/>
      <w:szCs w:val="26"/>
    </w:rPr>
  </w:style>
  <w:style w:type="paragraph" w:styleId="1113">
    <w:name w:val="Intense Quote"/>
    <w:basedOn w:val="1007"/>
    <w:next w:val="1007"/>
    <w:link w:val="1112"/>
    <w:uiPriority w:val="30"/>
    <w:qFormat/>
    <w:pPr>
      <w:ind w:left="936" w:right="936"/>
      <w:jc w:val="center"/>
      <w:spacing w:before="100" w:beforeAutospacing="1" w:after="240" w:line="252" w:lineRule="auto"/>
      <w:widowControl/>
    </w:pPr>
    <w:rPr>
      <w:rFonts w:ascii="Calibri Light" w:hAnsi="Calibri Light"/>
      <w:sz w:val="26"/>
      <w:szCs w:val="26"/>
    </w:rPr>
  </w:style>
  <w:style w:type="character" w:styleId="1114" w:customStyle="1">
    <w:name w:val="签名 Char1"/>
    <w:uiPriority w:val="0"/>
    <w:semiHidden/>
    <w:qFormat/>
    <w:rPr>
      <w:sz w:val="24"/>
      <w:szCs w:val="24"/>
    </w:rPr>
  </w:style>
  <w:style w:type="character" w:styleId="1115" w:customStyle="1">
    <w:name w:val="书籍标题1"/>
    <w:uiPriority w:val="33"/>
    <w:qFormat/>
    <w:rPr>
      <w:b/>
      <w:bCs/>
      <w:smallCaps/>
      <w:color w:val="auto"/>
    </w:rPr>
  </w:style>
  <w:style w:type="character" w:styleId="1116" w:customStyle="1">
    <w:name w:val="不明显强调1"/>
    <w:uiPriority w:val="19"/>
    <w:qFormat/>
    <w:rPr>
      <w:i/>
      <w:iCs/>
      <w:color w:val="auto"/>
    </w:rPr>
  </w:style>
  <w:style w:type="character" w:styleId="1117" w:customStyle="1">
    <w:name w:val="明显引用 Char1"/>
    <w:uiPriority w:val="30"/>
    <w:qFormat/>
    <w:rPr>
      <w:i/>
      <w:iCs/>
      <w:color w:val="5b9bd5"/>
      <w:sz w:val="21"/>
    </w:rPr>
  </w:style>
  <w:style w:type="character" w:styleId="1118" w:customStyle="1">
    <w:name w:val="标题 Char1"/>
    <w:uiPriority w:val="10"/>
    <w:qFormat/>
    <w:rPr>
      <w:rFonts w:ascii="Calibri Light" w:hAnsi="Calibri Light" w:cs="Times New Roman"/>
      <w:b/>
      <w:bCs/>
      <w:sz w:val="32"/>
      <w:szCs w:val="32"/>
    </w:rPr>
  </w:style>
  <w:style w:type="character" w:styleId="1119" w:customStyle="1">
    <w:name w:val="正文文本 Char2"/>
    <w:uiPriority w:val="0"/>
    <w:semiHidden/>
    <w:qFormat/>
    <w:rPr>
      <w:sz w:val="24"/>
      <w:szCs w:val="24"/>
    </w:rPr>
  </w:style>
  <w:style w:type="character" w:styleId="1120" w:customStyle="1">
    <w:name w:val="正文格式（小四） Char"/>
    <w:link w:val="1121"/>
    <w:uiPriority w:val="0"/>
    <w:qFormat/>
    <w:rPr>
      <w:sz w:val="24"/>
      <w:szCs w:val="24"/>
    </w:rPr>
  </w:style>
  <w:style w:type="paragraph" w:styleId="1121" w:customStyle="1">
    <w:name w:val="正文格式（小四）"/>
    <w:basedOn w:val="1007"/>
    <w:link w:val="1120"/>
    <w:uiPriority w:val="0"/>
    <w:qFormat/>
    <w:pPr>
      <w:ind w:firstLine="482"/>
      <w:jc w:val="left"/>
      <w:spacing w:after="160" w:line="360" w:lineRule="auto"/>
      <w:widowControl/>
    </w:pPr>
    <w:rPr>
      <w:sz w:val="24"/>
      <w:szCs w:val="24"/>
    </w:rPr>
  </w:style>
  <w:style w:type="character" w:styleId="1122" w:customStyle="1">
    <w:name w:val="批注文字 Char2"/>
    <w:uiPriority w:val="0"/>
    <w:semiHidden/>
    <w:qFormat/>
    <w:rPr>
      <w:sz w:val="24"/>
      <w:szCs w:val="24"/>
    </w:rPr>
  </w:style>
  <w:style w:type="character" w:styleId="1123" w:customStyle="1">
    <w:name w:val="Plain Text Char"/>
    <w:uiPriority w:val="0"/>
    <w:qFormat/>
    <w:rPr>
      <w:rFonts w:ascii="宋体" w:hAnsi="Courier New" w:eastAsia="楷体_GB2312"/>
      <w:sz w:val="26"/>
    </w:rPr>
  </w:style>
  <w:style w:type="character" w:styleId="1124" w:customStyle="1">
    <w:name w:val="批注主题 Char1"/>
    <w:uiPriority w:val="0"/>
    <w:semiHidden/>
    <w:qFormat/>
    <w:rPr>
      <w:b/>
      <w:bCs/>
      <w:sz w:val="24"/>
      <w:szCs w:val="24"/>
    </w:rPr>
  </w:style>
  <w:style w:type="character" w:styleId="1125" w:customStyle="1">
    <w:name w:val="方案正文 Char"/>
    <w:link w:val="1126"/>
    <w:uiPriority w:val="0"/>
    <w:qFormat/>
    <w:rPr>
      <w:spacing w:val="2"/>
      <w:sz w:val="21"/>
      <w:szCs w:val="21"/>
    </w:rPr>
  </w:style>
  <w:style w:type="paragraph" w:styleId="1126" w:customStyle="1">
    <w:name w:val="方案正文"/>
    <w:basedOn w:val="1007"/>
    <w:link w:val="1125"/>
    <w:uiPriority w:val="0"/>
    <w:qFormat/>
    <w:pPr>
      <w:jc w:val="left"/>
      <w:spacing w:line="360" w:lineRule="auto"/>
      <w:widowControl/>
      <w:tabs>
        <w:tab w:val="left" w:pos="0" w:leader="none"/>
      </w:tabs>
    </w:pPr>
    <w:rPr>
      <w:spacing w:val="2"/>
      <w:szCs w:val="21"/>
    </w:rPr>
  </w:style>
  <w:style w:type="character" w:styleId="1127" w:customStyle="1">
    <w:name w:val="正文文本 字符"/>
    <w:uiPriority w:val="0"/>
    <w:qFormat/>
    <w:rPr>
      <w:rFonts w:ascii="楷体_GB2312" w:hAnsi="Arial" w:eastAsia="楷体_GB2312"/>
      <w:sz w:val="28"/>
    </w:rPr>
  </w:style>
  <w:style w:type="character" w:styleId="1128" w:customStyle="1">
    <w:name w:val="明显强调1"/>
    <w:uiPriority w:val="21"/>
    <w:qFormat/>
    <w:rPr>
      <w:b/>
      <w:bCs/>
      <w:i/>
      <w:iCs/>
      <w:color w:val="auto"/>
    </w:rPr>
  </w:style>
  <w:style w:type="character" w:styleId="1129" w:customStyle="1">
    <w:name w:val="引用 字符"/>
    <w:link w:val="1130"/>
    <w:uiPriority w:val="29"/>
    <w:qFormat/>
    <w:rPr>
      <w:rFonts w:ascii="Calibri Light" w:hAnsi="Calibri Light"/>
      <w:i/>
      <w:iCs/>
      <w:sz w:val="24"/>
      <w:szCs w:val="24"/>
    </w:rPr>
  </w:style>
  <w:style w:type="paragraph" w:styleId="1130">
    <w:name w:val="Quote"/>
    <w:basedOn w:val="1007"/>
    <w:next w:val="1007"/>
    <w:link w:val="1129"/>
    <w:uiPriority w:val="29"/>
    <w:qFormat/>
    <w:pPr>
      <w:ind w:left="864" w:right="864"/>
      <w:jc w:val="center"/>
      <w:spacing w:before="200" w:after="160" w:line="264" w:lineRule="auto"/>
      <w:widowControl/>
    </w:pPr>
    <w:rPr>
      <w:rFonts w:ascii="Calibri Light" w:hAnsi="Calibri Light"/>
      <w:i/>
      <w:iCs/>
      <w:sz w:val="24"/>
      <w:szCs w:val="24"/>
    </w:rPr>
  </w:style>
  <w:style w:type="character" w:styleId="1131" w:customStyle="1">
    <w:name w:val="页眉 Char1"/>
    <w:uiPriority w:val="99"/>
    <w:semiHidden/>
    <w:qFormat/>
    <w:rPr>
      <w:sz w:val="18"/>
      <w:szCs w:val="18"/>
    </w:rPr>
  </w:style>
  <w:style w:type="character" w:styleId="1132" w:customStyle="1">
    <w:name w:val="列出段落 字符"/>
    <w:link w:val="1133"/>
    <w:uiPriority w:val="34"/>
    <w:qFormat/>
    <w:rPr>
      <w:sz w:val="24"/>
      <w:szCs w:val="21"/>
    </w:rPr>
  </w:style>
  <w:style w:type="paragraph" w:styleId="1133">
    <w:name w:val="List Paragraph"/>
    <w:basedOn w:val="1007"/>
    <w:link w:val="1132"/>
    <w:uiPriority w:val="34"/>
    <w:qFormat/>
    <w:pPr>
      <w:ind w:firstLine="420"/>
      <w:spacing w:line="360" w:lineRule="auto"/>
    </w:pPr>
    <w:rPr>
      <w:sz w:val="24"/>
      <w:szCs w:val="21"/>
    </w:rPr>
  </w:style>
  <w:style w:type="character" w:styleId="1134" w:customStyle="1">
    <w:name w:val="不明显参考1"/>
    <w:uiPriority w:val="31"/>
    <w:qFormat/>
    <w:rPr>
      <w:smallCaps/>
      <w:color w:val="auto"/>
      <w:u w:val="single"/>
    </w:rPr>
  </w:style>
  <w:style w:type="character" w:styleId="1135" w:customStyle="1">
    <w:name w:val="日期 Char1"/>
    <w:uiPriority w:val="0"/>
    <w:semiHidden/>
    <w:qFormat/>
    <w:rPr>
      <w:sz w:val="24"/>
      <w:szCs w:val="24"/>
    </w:rPr>
  </w:style>
  <w:style w:type="character" w:styleId="1136" w:customStyle="1">
    <w:name w:val="正文文本 Char1"/>
    <w:uiPriority w:val="0"/>
    <w:qFormat/>
    <w:rPr>
      <w:rFonts w:ascii="楷体_GB2312" w:hAnsi="Arial" w:eastAsia="楷体_GB2312"/>
      <w:sz w:val="28"/>
    </w:rPr>
  </w:style>
  <w:style w:type="character" w:styleId="1137" w:customStyle="1">
    <w:name w:val="签名 字符"/>
    <w:uiPriority w:val="0"/>
    <w:qFormat/>
    <w:rPr>
      <w:rFonts w:eastAsia="仿宋_GB2312"/>
      <w:sz w:val="24"/>
    </w:rPr>
  </w:style>
  <w:style w:type="character" w:styleId="1138" w:customStyle="1">
    <w:name w:val="批注文字 Char"/>
    <w:uiPriority w:val="0"/>
    <w:qFormat/>
    <w:rPr>
      <w:sz w:val="21"/>
    </w:rPr>
  </w:style>
  <w:style w:type="character" w:styleId="1139" w:customStyle="1">
    <w:name w:val="批注框文本 Char1"/>
    <w:uiPriority w:val="0"/>
    <w:semiHidden/>
    <w:qFormat/>
    <w:rPr>
      <w:sz w:val="18"/>
      <w:szCs w:val="18"/>
    </w:rPr>
  </w:style>
  <w:style w:type="character" w:styleId="1140" w:customStyle="1">
    <w:name w:val="正文缩进 Char1"/>
    <w:link w:val="1141"/>
    <w:uiPriority w:val="0"/>
    <w:qFormat/>
    <w:rPr>
      <w:rFonts w:ascii="宋体"/>
      <w:sz w:val="24"/>
    </w:rPr>
  </w:style>
  <w:style w:type="paragraph" w:styleId="1141" w:customStyle="1">
    <w:name w:val="正文缩进1"/>
    <w:basedOn w:val="1007"/>
    <w:link w:val="1140"/>
    <w:uiPriority w:val="0"/>
    <w:qFormat/>
    <w:pPr>
      <w:ind w:firstLine="420"/>
      <w:jc w:val="left"/>
    </w:pPr>
    <w:rPr>
      <w:rFonts w:ascii="宋体"/>
      <w:sz w:val="24"/>
    </w:rPr>
  </w:style>
  <w:style w:type="character" w:styleId="1142" w:customStyle="1">
    <w:name w:val="HTML 预设格式 Char1"/>
    <w:uiPriority w:val="0"/>
    <w:semiHidden/>
    <w:qFormat/>
    <w:rPr>
      <w:rFonts w:ascii="Courier New" w:hAnsi="Courier New" w:cs="Courier New"/>
    </w:rPr>
  </w:style>
  <w:style w:type="character" w:styleId="1143" w:customStyle="1">
    <w:name w:val="明显参考1"/>
    <w:uiPriority w:val="32"/>
    <w:qFormat/>
    <w:rPr>
      <w:b/>
      <w:bCs/>
      <w:smallCaps/>
      <w:color w:val="auto"/>
      <w:u w:val="single"/>
    </w:rPr>
  </w:style>
  <w:style w:type="paragraph" w:styleId="1144" w:customStyle="1">
    <w:name w:val="Char Char"/>
    <w:basedOn w:val="1007"/>
    <w:uiPriority w:val="0"/>
    <w:qFormat/>
    <w:rPr>
      <w:szCs w:val="21"/>
    </w:rPr>
  </w:style>
  <w:style w:type="paragraph" w:styleId="1145"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146" w:customStyle="1">
    <w:name w:val="Char Char1 Char Char Char Char Char Char Char"/>
    <w:basedOn w:val="1007"/>
    <w:uiPriority w:val="0"/>
    <w:qFormat/>
    <w:rPr>
      <w:rFonts w:ascii="Tahoma" w:hAnsi="Tahoma"/>
      <w:sz w:val="24"/>
    </w:rPr>
  </w:style>
  <w:style w:type="paragraph" w:styleId="1147" w:customStyle="1">
    <w:name w:val="索引 11"/>
    <w:basedOn w:val="1007"/>
    <w:next w:val="1007"/>
    <w:uiPriority w:val="0"/>
    <w:qFormat/>
    <w:pPr>
      <w:spacing w:line="360" w:lineRule="auto"/>
    </w:pPr>
    <w:rPr>
      <w:rFonts w:ascii="仿宋_GB2312" w:eastAsia="仿宋_GB2312"/>
      <w:sz w:val="24"/>
    </w:rPr>
  </w:style>
  <w:style w:type="paragraph" w:styleId="1148">
    <w:name w:val="No Spacing"/>
    <w:uiPriority w:val="1"/>
    <w:qFormat/>
    <w:pPr>
      <w:jc w:val="both"/>
    </w:pPr>
    <w:rPr>
      <w:rFonts w:ascii="Calibri" w:hAnsi="Calibri" w:eastAsia="宋体" w:cs="Times New Roman"/>
      <w:sz w:val="22"/>
      <w:szCs w:val="22"/>
      <w:lang w:val="en-US" w:eastAsia="zh-CN" w:bidi="ar-SA"/>
    </w:rPr>
  </w:style>
  <w:style w:type="paragraph" w:styleId="1149" w:customStyle="1">
    <w:name w:val="Char Char Char"/>
    <w:basedOn w:val="1007"/>
    <w:uiPriority w:val="0"/>
    <w:qFormat/>
    <w:pPr>
      <w:ind w:left="375" w:hanging="375"/>
      <w:tabs>
        <w:tab w:val="left" w:pos="375" w:leader="none"/>
        <w:tab w:val="left" w:pos="1545" w:leader="none"/>
      </w:tabs>
    </w:pPr>
  </w:style>
  <w:style w:type="paragraph" w:styleId="1150" w:customStyle="1">
    <w:name w:val="Char"/>
    <w:basedOn w:val="1007"/>
    <w:uiPriority w:val="0"/>
    <w:qFormat/>
    <w:pPr>
      <w:numPr>
        <w:ilvl w:val="0"/>
        <w:numId w:val="1"/>
      </w:numPr>
    </w:pPr>
    <w:rPr>
      <w:sz w:val="24"/>
      <w:szCs w:val="24"/>
    </w:rPr>
  </w:style>
  <w:style w:type="paragraph" w:styleId="1151" w:customStyle="1">
    <w:name w:val="Char1 Char Char Char"/>
    <w:basedOn w:val="1007"/>
    <w:uiPriority w:val="0"/>
    <w:qFormat/>
    <w:rPr>
      <w:rFonts w:ascii="Tahoma" w:hAnsi="Tahoma"/>
      <w:sz w:val="24"/>
    </w:rPr>
  </w:style>
  <w:style w:type="paragraph" w:styleId="1152" w:customStyle="1">
    <w:name w:val="Char Char Char Char"/>
    <w:basedOn w:val="1024"/>
    <w:uiPriority w:val="0"/>
    <w:qFormat/>
    <w:pPr>
      <w:spacing w:line="360" w:lineRule="auto"/>
    </w:pPr>
    <w:rPr>
      <w:rFonts w:ascii="Tahoma" w:hAnsi="Tahoma"/>
      <w:sz w:val="24"/>
      <w:szCs w:val="24"/>
    </w:rPr>
  </w:style>
  <w:style w:type="paragraph" w:styleId="1153" w:customStyle="1">
    <w:name w:val="Char Char Char1"/>
    <w:basedOn w:val="1007"/>
    <w:uiPriority w:val="0"/>
    <w:qFormat/>
    <w:pPr>
      <w:numPr>
        <w:ilvl w:val="0"/>
        <w:numId w:val="2"/>
      </w:numPr>
      <w:tabs>
        <w:tab w:val="left" w:pos="375" w:leader="none"/>
        <w:tab w:val="left" w:pos="1545" w:leader="none"/>
      </w:tabs>
    </w:pPr>
  </w:style>
  <w:style w:type="paragraph" w:styleId="1154" w:customStyle="1">
    <w:name w:val="样式1"/>
    <w:basedOn w:val="1007"/>
    <w:uiPriority w:val="0"/>
    <w:qFormat/>
    <w:pPr>
      <w:numPr>
        <w:ilvl w:val="0"/>
        <w:numId w:val="3"/>
      </w:numPr>
    </w:pPr>
    <w:rPr>
      <w:rFonts w:ascii="宋体" w:hAnsi="宋体"/>
      <w:szCs w:val="21"/>
    </w:rPr>
  </w:style>
  <w:style w:type="paragraph" w:styleId="1155" w:customStyle="1">
    <w:name w:val="_Style 12"/>
    <w:basedOn w:val="1024"/>
    <w:uiPriority w:val="0"/>
    <w:qFormat/>
    <w:pPr>
      <w:jc w:val="left"/>
      <w:spacing w:line="360" w:lineRule="auto"/>
      <w:widowControl/>
    </w:pPr>
    <w:rPr>
      <w:sz w:val="24"/>
      <w:szCs w:val="24"/>
    </w:rPr>
  </w:style>
  <w:style w:type="paragraph" w:styleId="1156" w:customStyle="1">
    <w:name w:val="Plain Text1"/>
    <w:basedOn w:val="1007"/>
    <w:uiPriority w:val="0"/>
    <w:qFormat/>
    <w:rPr>
      <w:rFonts w:ascii="宋体" w:hAnsi="Courier New" w:eastAsia="楷体_GB2312"/>
      <w:sz w:val="28"/>
    </w:rPr>
  </w:style>
  <w:style w:type="paragraph" w:styleId="1157" w:customStyle="1">
    <w:name w:val="列出段落1"/>
    <w:uiPriority w:val="0"/>
    <w:qFormat/>
    <w:pPr>
      <w:ind w:left="720"/>
      <w:pBdr>
        <w:top w:val="none" w:color="FFFFFF" w:sz="0" w:space="31"/>
        <w:left w:val="none" w:color="FFFFFF" w:sz="0" w:space="31"/>
        <w:bottom w:val="none" w:color="FFFFFF" w:sz="0" w:space="31"/>
        <w:right w:val="none" w:color="FFFFFF" w:sz="0" w:space="31"/>
      </w:pBdr>
    </w:pPr>
    <w:rPr>
      <w:rFonts w:ascii="Arial" w:hAnsi="Arial" w:eastAsia="宋体" w:cs="Arial"/>
      <w:color w:val="000000"/>
      <w:sz w:val="24"/>
      <w:szCs w:val="24"/>
      <w:lang w:val="en-US" w:eastAsia="zh-CN" w:bidi="ar-SA"/>
    </w:rPr>
  </w:style>
  <w:style w:type="paragraph" w:styleId="1158" w:customStyle="1">
    <w:name w:val="Char Char1 Char Char Char Char Char Char Char1"/>
    <w:basedOn w:val="1007"/>
    <w:uiPriority w:val="0"/>
    <w:qFormat/>
    <w:rPr>
      <w:rFonts w:ascii="Calibri Light" w:hAnsi="Calibri Light" w:cs="Berlin Sans FB Demi"/>
      <w:sz w:val="24"/>
    </w:rPr>
  </w:style>
  <w:style w:type="paragraph" w:styleId="1159" w:customStyle="1">
    <w:name w:val="TOC 标题1"/>
    <w:basedOn w:val="1008"/>
    <w:next w:val="1007"/>
    <w:uiPriority w:val="39"/>
    <w:qFormat/>
    <w:pPr>
      <w:jc w:val="both"/>
      <w:keepLines/>
      <w:spacing w:before="320" w:after="40" w:line="252" w:lineRule="auto"/>
      <w:widowControl/>
      <w:tabs>
        <w:tab w:val="clear" w:pos="200" w:leader="none"/>
      </w:tabs>
      <w:outlineLvl w:val="9"/>
    </w:pPr>
    <w:rPr>
      <w:rFonts w:ascii="Calibri Light" w:hAnsi="Calibri Light"/>
      <w:bCs/>
      <w:caps/>
      <w:spacing w:val="4"/>
      <w:sz w:val="28"/>
      <w:szCs w:val="28"/>
    </w:rPr>
  </w:style>
  <w:style w:type="table" w:styleId="1160" w:customStyle="1">
    <w:name w:val="网格型1"/>
    <w:basedOn w:val="1018"/>
    <w:uiPriority w:val="0"/>
    <w:qFormat/>
    <w:pPr>
      <w:jc w:val="both"/>
      <w:widowControl w:val="off"/>
    </w:pPr>
    <w:rPr>
      <w:rFonts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1" w:customStyle="1">
    <w:name w:val="正文首行缩进 字符"/>
    <w:basedOn w:val="1093"/>
    <w:uiPriority w:val="0"/>
    <w:qFormat/>
    <w:rPr>
      <w:rFonts w:ascii="楷体_GB2312" w:hAnsi="Arial" w:eastAsia="楷体_GB2312"/>
      <w:sz w:val="21"/>
    </w:rPr>
  </w:style>
  <w:style w:type="character" w:styleId="1162" w:customStyle="1">
    <w:name w:val="正文首行缩进 字符1"/>
    <w:link w:val="1028"/>
    <w:uiPriority w:val="99"/>
    <w:qFormat/>
    <w:rPr>
      <w:sz w:val="21"/>
    </w:rPr>
  </w:style>
  <w:style w:type="paragraph" w:styleId="1163" w:customStyle="1">
    <w:name w:val="纯文本2"/>
    <w:basedOn w:val="1007"/>
    <w:uiPriority w:val="0"/>
    <w:qFormat/>
    <w:rPr>
      <w:rFonts w:ascii="宋体" w:hAnsi="Courier New" w:eastAsia="楷体_GB2312"/>
      <w:sz w:val="28"/>
    </w:rPr>
  </w:style>
  <w:style w:type="character" w:styleId="1164" w:customStyle="1">
    <w:name w:val="NormalCharacter"/>
    <w:uiPriority w:val="0"/>
    <w:semiHidden/>
    <w:qFormat/>
    <w:rPr>
      <w:sz w:val="21"/>
      <w:lang w:val="en-US" w:eastAsia="zh-CN" w:bidi="ar-SA"/>
    </w:rPr>
  </w:style>
  <w:style w:type="character" w:styleId="1165" w:customStyle="1">
    <w:name w:val="Plain Text Char Char"/>
    <w:uiPriority w:val="0"/>
    <w:qFormat/>
    <w:rPr>
      <w:rFonts w:ascii="宋体" w:hAnsi="Courier New" w:eastAsia="楷体_GB2312"/>
      <w:sz w:val="28"/>
    </w:rPr>
  </w:style>
  <w:style w:type="character" w:styleId="1166" w:customStyle="1">
    <w:name w:val="text1 Char"/>
    <w:link w:val="1167"/>
    <w:uiPriority w:val="0"/>
    <w:qFormat/>
    <w:rPr>
      <w:sz w:val="24"/>
      <w:lang w:val="zh-CN"/>
    </w:rPr>
  </w:style>
  <w:style w:type="paragraph" w:styleId="1167" w:customStyle="1">
    <w:name w:val="text1"/>
    <w:basedOn w:val="1007"/>
    <w:link w:val="1166"/>
    <w:uiPriority w:val="0"/>
    <w:qFormat/>
    <w:pPr>
      <w:ind w:firstLine="200"/>
      <w:spacing w:line="360" w:lineRule="auto"/>
    </w:pPr>
    <w:rPr>
      <w:sz w:val="24"/>
      <w:lang w:val="zh-CN"/>
    </w:rPr>
  </w:style>
  <w:style w:type="paragraph" w:styleId="1168" w:customStyle="1">
    <w:name w:val="Body text|1"/>
    <w:basedOn w:val="1007"/>
    <w:uiPriority w:val="0"/>
    <w:qFormat/>
    <w:pPr>
      <w:ind w:firstLine="240"/>
      <w:spacing w:after="80" w:line="401" w:lineRule="auto"/>
    </w:pPr>
    <w:rPr>
      <w:rFonts w:ascii="宋体" w:hAnsi="宋体" w:cs="宋体"/>
      <w:sz w:val="22"/>
      <w:szCs w:val="22"/>
      <w:lang w:val="zh-TW" w:eastAsia="zh-TW" w:bidi="zh-TW"/>
    </w:rPr>
  </w:style>
  <w:style w:type="paragraph" w:styleId="1169" w:customStyle="1">
    <w:name w:val="Other|1"/>
    <w:basedOn w:val="1007"/>
    <w:uiPriority w:val="0"/>
    <w:qFormat/>
    <w:pPr>
      <w:ind w:firstLine="240"/>
      <w:spacing w:after="80" w:line="401" w:lineRule="auto"/>
    </w:pPr>
    <w:rPr>
      <w:rFonts w:ascii="宋体" w:hAnsi="宋体" w:cs="宋体"/>
      <w:sz w:val="22"/>
      <w:szCs w:val="22"/>
      <w:lang w:val="zh-TW" w:eastAsia="zh-TW" w:bidi="zh-TW"/>
    </w:rPr>
  </w:style>
  <w:style w:type="paragraph" w:styleId="1170" w:customStyle="1">
    <w:name w:val="Header or footer|2"/>
    <w:basedOn w:val="1007"/>
    <w:uiPriority w:val="0"/>
    <w:qFormat/>
    <w:rPr>
      <w:sz w:val="20"/>
      <w:lang w:val="zh-TW" w:eastAsia="zh-TW" w:bidi="zh-TW"/>
    </w:rPr>
  </w:style>
  <w:style w:type="paragraph" w:styleId="1171" w:customStyle="1">
    <w:name w:val="Heading #3|1"/>
    <w:basedOn w:val="1007"/>
    <w:uiPriority w:val="0"/>
    <w:qFormat/>
    <w:pPr>
      <w:ind w:left="2180" w:firstLine="20"/>
      <w:spacing w:line="432" w:lineRule="exact"/>
      <w:outlineLvl w:val="2"/>
    </w:pPr>
    <w:rPr>
      <w:rFonts w:ascii="宋体" w:hAnsi="宋体" w:cs="宋体"/>
      <w:sz w:val="26"/>
      <w:szCs w:val="26"/>
      <w:lang w:val="zh-TW" w:eastAsia="zh-TW" w:bidi="zh-TW"/>
    </w:rPr>
  </w:style>
  <w:style w:type="paragraph" w:styleId="1172" w:customStyle="1">
    <w:name w:val="Header or footer|1"/>
    <w:basedOn w:val="1007"/>
    <w:uiPriority w:val="0"/>
    <w:qFormat/>
    <w:pPr>
      <w:jc w:val="right"/>
    </w:pPr>
    <w:rPr>
      <w:rFonts w:ascii="宋体" w:hAnsi="宋体" w:cs="宋体"/>
      <w:sz w:val="26"/>
      <w:szCs w:val="26"/>
      <w:lang w:val="zh-TW" w:eastAsia="zh-TW" w:bidi="zh-TW"/>
    </w:rPr>
  </w:style>
  <w:style w:type="character" w:styleId="1173" w:customStyle="1">
    <w:name w:val="hover"/>
    <w:basedOn w:val="1017"/>
    <w:uiPriority w:val="0"/>
    <w:qFormat/>
    <w:rPr>
      <w:color w:val="2590eb"/>
    </w:rPr>
  </w:style>
  <w:style w:type="character" w:styleId="1174" w:customStyle="1">
    <w:name w:val="hover1"/>
    <w:basedOn w:val="1017"/>
    <w:uiPriority w:val="0"/>
    <w:qFormat/>
    <w:rPr>
      <w:color w:val="2590eb"/>
    </w:rPr>
  </w:style>
  <w:style w:type="character" w:styleId="1175" w:customStyle="1">
    <w:name w:val="hover2"/>
    <w:basedOn w:val="1017"/>
    <w:uiPriority w:val="0"/>
    <w:qFormat/>
  </w:style>
  <w:style w:type="character" w:styleId="1176" w:customStyle="1">
    <w:name w:val="hover3"/>
    <w:basedOn w:val="1017"/>
    <w:uiPriority w:val="0"/>
    <w:qFormat/>
    <w:rPr>
      <w:color w:val="2590eb"/>
      <w:shd w:val="clear" w:color="auto" w:fill="e9f4fd"/>
    </w:rPr>
  </w:style>
  <w:style w:type="paragraph" w:styleId="1177" w:customStyle="1">
    <w:name w:val="标题 3.1"/>
    <w:basedOn w:val="1010"/>
    <w:uiPriority w:val="0"/>
    <w:qFormat/>
    <w:pPr>
      <w:jc w:val="both"/>
      <w:keepLines/>
      <w:spacing w:before="260" w:after="260" w:line="600" w:lineRule="exact"/>
      <w:tabs>
        <w:tab w:val="left" w:pos="1440" w:leader="none"/>
        <w:tab w:val="left" w:pos="1620" w:leader="none"/>
      </w:tabs>
    </w:pPr>
    <w:rPr>
      <w:b/>
      <w:color w:val="ff0000"/>
      <w:sz w:val="32"/>
    </w:rPr>
  </w:style>
  <w:style w:type="paragraph" w:styleId="1178" w:customStyle="1">
    <w:name w:val="Char Char1 Char Char Char Char Char Char Char2"/>
    <w:basedOn w:val="1007"/>
    <w:uiPriority w:val="0"/>
    <w:qFormat/>
    <w:rPr>
      <w:rFonts w:ascii="Tahoma" w:hAnsi="Tahoma"/>
      <w:sz w:val="24"/>
    </w:rPr>
  </w:style>
  <w:style w:type="paragraph" w:styleId="1179" w:customStyle="1">
    <w:name w:val="普通(网站)1"/>
    <w:basedOn w:val="1007"/>
    <w:uiPriority w:val="0"/>
    <w:qFormat/>
    <w:pPr>
      <w:jc w:val="left"/>
      <w:spacing w:before="100" w:beforeAutospacing="1" w:after="100" w:afterAutospacing="1"/>
      <w:widowControl/>
    </w:pPr>
    <w:rPr>
      <w:rFonts w:ascii="宋体" w:hAnsi="宋体" w:cs="宋体"/>
      <w:sz w:val="24"/>
    </w:rPr>
  </w:style>
  <w:style w:type="paragraph" w:styleId="1180" w:customStyle="1">
    <w:name w:val="普通正文"/>
    <w:basedOn w:val="1007"/>
    <w:uiPriority w:val="0"/>
    <w:qFormat/>
    <w:pPr>
      <w:ind w:firstLine="480"/>
      <w:jc w:val="left"/>
      <w:spacing w:before="120" w:after="120" w:line="360" w:lineRule="auto"/>
    </w:pPr>
    <w:rPr>
      <w:rFonts w:ascii="Arial" w:hAnsi="Arial"/>
      <w:sz w:val="24"/>
      <w:szCs w:val="24"/>
    </w:rPr>
  </w:style>
  <w:style w:type="character" w:styleId="1181" w:customStyle="1">
    <w:name w:val="默认段落字体1"/>
    <w:uiPriority w:val="1"/>
    <w:unhideWhenUsed/>
    <w:qFormat/>
    <w:rPr>
      <w:rFonts w:ascii="Calibri" w:hAnsi="Calibri" w:eastAsia="宋体" w:cs="Times New Roman"/>
      <w:sz w:val="21"/>
      <w:lang w:val="en-US" w:eastAsia="zh-CN" w:bidi="ar-SA"/>
    </w:rPr>
  </w:style>
  <w:style w:type="paragraph" w:styleId="1182" w:customStyle="1">
    <w:name w:val="Normal_0_2"/>
    <w:uiPriority w:val="0"/>
    <w:qFormat/>
    <w:rPr>
      <w:rFonts w:ascii="Times New Roman" w:hAnsi="Times New Roman" w:eastAsia="Times New Roman" w:cs="Times New Roman"/>
      <w:sz w:val="24"/>
      <w:szCs w:val="24"/>
      <w:lang w:val="en-US" w:eastAsia="zh-CN" w:bidi="ar-SA"/>
    </w:rPr>
  </w:style>
  <w:style w:type="paragraph" w:styleId="1183" w:customStyle="1">
    <w:name w:val="正文文本1"/>
    <w:basedOn w:val="1007"/>
    <w:next w:val="1007"/>
    <w:uiPriority w:val="0"/>
    <w:qFormat/>
    <w:rPr>
      <w:rFonts w:ascii="楷体_GB2312" w:hAnsi="Arial" w:eastAsia="楷体_GB2312"/>
      <w:sz w:val="28"/>
    </w:rPr>
  </w:style>
  <w:style w:type="paragraph" w:styleId="1184" w:customStyle="1">
    <w:name w:val="正文文本缩进1"/>
    <w:basedOn w:val="1007"/>
    <w:next w:val="1185"/>
    <w:uiPriority w:val="0"/>
    <w:qFormat/>
    <w:pPr>
      <w:ind w:firstLine="574"/>
      <w:spacing w:line="312" w:lineRule="atLeast"/>
    </w:pPr>
    <w:rPr>
      <w:rFonts w:ascii="宋体"/>
      <w:sz w:val="28"/>
    </w:rPr>
  </w:style>
  <w:style w:type="paragraph" w:styleId="1185" w:customStyle="1">
    <w:name w:val="寄信人地址1"/>
    <w:basedOn w:val="1007"/>
    <w:uiPriority w:val="0"/>
    <w:qFormat/>
    <w:rPr>
      <w:rFonts w:ascii="Arial" w:hAnsi="Arial"/>
    </w:rPr>
  </w:style>
  <w:style w:type="character" w:styleId="1186" w:customStyle="1">
    <w:name w:val="font11"/>
    <w:basedOn w:val="1017"/>
    <w:uiPriority w:val="0"/>
    <w:qFormat/>
    <w:rPr>
      <w:rFonts w:hint="eastAsia" w:ascii="宋体" w:hAnsi="宋体" w:eastAsia="宋体" w:cs="宋体"/>
      <w:b/>
      <w:bCs/>
      <w:color w:val="000000"/>
      <w:sz w:val="28"/>
      <w:szCs w:val="28"/>
      <w:u w:val="none"/>
    </w:rPr>
  </w:style>
  <w:style w:type="character" w:styleId="1187" w:customStyle="1">
    <w:name w:val="font31"/>
    <w:basedOn w:val="1017"/>
    <w:uiPriority w:val="0"/>
    <w:qFormat/>
    <w:rPr>
      <w:rFonts w:ascii="Segoe UI" w:hAnsi="Segoe UI" w:eastAsia="Segoe UI" w:cs="Segoe UI"/>
      <w:b/>
      <w:bCs/>
      <w:color w:val="000000"/>
      <w:sz w:val="28"/>
      <w:szCs w:val="28"/>
      <w:u w:val="none"/>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AB1EC96-2E82-4092-80AD-1712BC2BA81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王蔼玲</cp:lastModifiedBy>
  <cp:revision>21</cp:revision>
  <dcterms:created xsi:type="dcterms:W3CDTF">2022-09-15T08:01:00Z</dcterms:created>
  <dcterms:modified xsi:type="dcterms:W3CDTF">2025-12-02T00:49:38Z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AA3756EB6A404D09941A4D1B532F53AA_13</vt:lpwstr>
  </property>
  <property fmtid="{D5CDD505-2E9C-101B-9397-08002B2CF9AE}" pid="4" name="KSOTemplateDocerSaveRecord">
    <vt:lpwstr>eyJoZGlkIjoiYzc2ODQ5ZjVhOWM2ZDA2MGQ2ZjM3ZWM1NzNlYWMyOTIiLCJ1c2VySWQiOiI1NDgyNzE2ODUifQ==</vt:lpwstr>
  </property>
</Properties>
</file>